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AB4229">
      <w:pPr>
        <w:rPr>
          <w:rFonts w:ascii="Times New Roman" w:hAnsi="Times New Roman" w:eastAsia="黑体" w:cs="Times New Roman"/>
          <w:bCs/>
          <w:color w:val="000000" w:themeColor="text1"/>
          <w:sz w:val="30"/>
          <w:szCs w:val="30"/>
          <w:highlight w:val="none"/>
          <w14:textFill>
            <w14:solidFill>
              <w14:schemeClr w14:val="tx1"/>
            </w14:solidFill>
          </w14:textFill>
        </w:rPr>
      </w:pPr>
    </w:p>
    <w:p w14:paraId="6B1AE87D">
      <w:pPr>
        <w:rPr>
          <w:rFonts w:ascii="Times New Roman" w:hAnsi="Times New Roman" w:eastAsia="黑体" w:cs="Times New Roman"/>
          <w:bCs/>
          <w:color w:val="000000" w:themeColor="text1"/>
          <w:sz w:val="30"/>
          <w:szCs w:val="30"/>
          <w:highlight w:val="none"/>
          <w14:textFill>
            <w14:solidFill>
              <w14:schemeClr w14:val="tx1"/>
            </w14:solidFill>
          </w14:textFill>
        </w:rPr>
      </w:pPr>
    </w:p>
    <w:p w14:paraId="16A8AF78">
      <w:pPr>
        <w:rPr>
          <w:rFonts w:ascii="Times New Roman" w:hAnsi="Times New Roman" w:eastAsia="黑体" w:cs="Times New Roman"/>
          <w:bCs/>
          <w:color w:val="000000" w:themeColor="text1"/>
          <w:sz w:val="30"/>
          <w:szCs w:val="30"/>
          <w:highlight w:val="none"/>
          <w14:textFill>
            <w14:solidFill>
              <w14:schemeClr w14:val="tx1"/>
            </w14:solidFill>
          </w14:textFill>
        </w:rPr>
      </w:pPr>
    </w:p>
    <w:p w14:paraId="2B6786E4">
      <w:pPr>
        <w:rPr>
          <w:rFonts w:ascii="Times New Roman" w:hAnsi="Times New Roman" w:eastAsia="黑体" w:cs="Times New Roman"/>
          <w:bCs/>
          <w:color w:val="000000" w:themeColor="text1"/>
          <w:sz w:val="30"/>
          <w:szCs w:val="30"/>
          <w:highlight w:val="none"/>
          <w14:textFill>
            <w14:solidFill>
              <w14:schemeClr w14:val="tx1"/>
            </w14:solidFill>
          </w14:textFill>
        </w:rPr>
      </w:pPr>
    </w:p>
    <w:p w14:paraId="048B63A1">
      <w:pPr>
        <w:jc w:val="center"/>
        <w:rPr>
          <w:rFonts w:hint="eastAsia" w:ascii="黑体" w:hAnsi="宋体" w:eastAsia="黑体" w:cs="Times New Roman"/>
          <w:bCs/>
          <w:color w:val="000000" w:themeColor="text1"/>
          <w:sz w:val="36"/>
          <w:szCs w:val="32"/>
          <w:highlight w:val="none"/>
          <w14:textFill>
            <w14:solidFill>
              <w14:schemeClr w14:val="tx1"/>
            </w14:solidFill>
          </w14:textFill>
        </w:rPr>
      </w:pPr>
      <w:r>
        <w:rPr>
          <w:rFonts w:hint="eastAsia" w:ascii="方正小标宋_GBK" w:hAnsi="方正小标宋_GBK" w:eastAsia="方正小标宋_GBK" w:cs="方正小标宋_GBK"/>
          <w:color w:val="000000" w:themeColor="text1"/>
          <w:kern w:val="0"/>
          <w:sz w:val="43"/>
          <w:szCs w:val="43"/>
          <w:highlight w:val="none"/>
          <w:lang w:bidi="ar"/>
          <w14:textFill>
            <w14:solidFill>
              <w14:schemeClr w14:val="tx1"/>
            </w14:solidFill>
          </w14:textFill>
        </w:rPr>
        <w:t>牛球虫病诊断和防制技术规程</w:t>
      </w:r>
    </w:p>
    <w:p w14:paraId="4367BF99">
      <w:pPr>
        <w:jc w:val="center"/>
        <w:rPr>
          <w:rFonts w:hint="eastAsia" w:ascii="黑体" w:hAnsi="宋体" w:eastAsia="黑体" w:cs="Times New Roman"/>
          <w:bCs/>
          <w:color w:val="000000" w:themeColor="text1"/>
          <w:sz w:val="36"/>
          <w:szCs w:val="32"/>
          <w:highlight w:val="none"/>
          <w14:textFill>
            <w14:solidFill>
              <w14:schemeClr w14:val="tx1"/>
            </w14:solidFill>
          </w14:textFill>
        </w:rPr>
      </w:pPr>
    </w:p>
    <w:p w14:paraId="526E2665">
      <w:pPr>
        <w:jc w:val="center"/>
        <w:rPr>
          <w:rFonts w:ascii="黑体" w:hAnsi="宋体" w:eastAsia="黑体" w:cs="Times New Roman"/>
          <w:bCs/>
          <w:color w:val="000000" w:themeColor="text1"/>
          <w:sz w:val="36"/>
          <w:szCs w:val="36"/>
          <w:highlight w:val="none"/>
          <w14:textFill>
            <w14:solidFill>
              <w14:schemeClr w14:val="tx1"/>
            </w14:solidFill>
          </w14:textFill>
        </w:rPr>
      </w:pPr>
    </w:p>
    <w:p w14:paraId="442DF9F1">
      <w:pPr>
        <w:widowControl/>
        <w:jc w:val="center"/>
        <w:rPr>
          <w:rFonts w:hint="eastAsia" w:ascii="方正小标宋_GBK" w:hAnsi="方正小标宋_GBK" w:eastAsia="方正小标宋_GBK" w:cs="方正小标宋_GBK"/>
          <w:color w:val="000000" w:themeColor="text1"/>
          <w:kern w:val="0"/>
          <w:sz w:val="43"/>
          <w:szCs w:val="43"/>
          <w:highlight w:val="none"/>
          <w:lang w:bidi="ar"/>
          <w14:textFill>
            <w14:solidFill>
              <w14:schemeClr w14:val="tx1"/>
            </w14:solidFill>
          </w14:textFill>
        </w:rPr>
      </w:pPr>
      <w:r>
        <w:rPr>
          <w:rFonts w:hint="eastAsia" w:ascii="方正小标宋_GBK" w:hAnsi="方正小标宋_GBK" w:eastAsia="方正小标宋_GBK" w:cs="方正小标宋_GBK"/>
          <w:color w:val="000000" w:themeColor="text1"/>
          <w:kern w:val="0"/>
          <w:sz w:val="43"/>
          <w:szCs w:val="43"/>
          <w:highlight w:val="none"/>
          <w:lang w:bidi="ar"/>
          <w14:textFill>
            <w14:solidFill>
              <w14:schemeClr w14:val="tx1"/>
            </w14:solidFill>
          </w14:textFill>
        </w:rPr>
        <w:t>编制说明</w:t>
      </w:r>
    </w:p>
    <w:p w14:paraId="09E352FD">
      <w:pPr>
        <w:jc w:val="center"/>
        <w:rPr>
          <w:rFonts w:ascii="黑体" w:hAnsi="宋体" w:eastAsia="黑体" w:cs="Times New Roman"/>
          <w:bCs/>
          <w:color w:val="000000" w:themeColor="text1"/>
          <w:sz w:val="44"/>
          <w:szCs w:val="44"/>
          <w:highlight w:val="none"/>
          <w14:textFill>
            <w14:solidFill>
              <w14:schemeClr w14:val="tx1"/>
            </w14:solidFill>
          </w14:textFill>
        </w:rPr>
      </w:pPr>
    </w:p>
    <w:p w14:paraId="12003E3A">
      <w:pPr>
        <w:jc w:val="center"/>
        <w:rPr>
          <w:rFonts w:ascii="黑体" w:hAnsi="宋体" w:eastAsia="黑体" w:cs="Times New Roman"/>
          <w:bCs/>
          <w:color w:val="000000" w:themeColor="text1"/>
          <w:sz w:val="44"/>
          <w:szCs w:val="44"/>
          <w:highlight w:val="none"/>
          <w14:textFill>
            <w14:solidFill>
              <w14:schemeClr w14:val="tx1"/>
            </w14:solidFill>
          </w14:textFill>
        </w:rPr>
      </w:pPr>
    </w:p>
    <w:p w14:paraId="393E3061">
      <w:pPr>
        <w:jc w:val="center"/>
        <w:rPr>
          <w:rFonts w:ascii="黑体" w:hAnsi="宋体" w:eastAsia="黑体" w:cs="Times New Roman"/>
          <w:bCs/>
          <w:color w:val="000000" w:themeColor="text1"/>
          <w:sz w:val="44"/>
          <w:szCs w:val="44"/>
          <w:highlight w:val="none"/>
          <w14:textFill>
            <w14:solidFill>
              <w14:schemeClr w14:val="tx1"/>
            </w14:solidFill>
          </w14:textFill>
        </w:rPr>
      </w:pPr>
    </w:p>
    <w:p w14:paraId="51D62771">
      <w:pPr>
        <w:jc w:val="center"/>
        <w:rPr>
          <w:rFonts w:ascii="黑体" w:hAnsi="宋体" w:eastAsia="黑体" w:cs="Times New Roman"/>
          <w:bCs/>
          <w:color w:val="000000" w:themeColor="text1"/>
          <w:sz w:val="44"/>
          <w:szCs w:val="44"/>
          <w:highlight w:val="none"/>
          <w14:textFill>
            <w14:solidFill>
              <w14:schemeClr w14:val="tx1"/>
            </w14:solidFill>
          </w14:textFill>
        </w:rPr>
      </w:pPr>
    </w:p>
    <w:p w14:paraId="21D0591D">
      <w:pPr>
        <w:jc w:val="center"/>
        <w:rPr>
          <w:rFonts w:ascii="黑体" w:hAnsi="宋体" w:eastAsia="黑体" w:cs="Times New Roman"/>
          <w:bCs/>
          <w:color w:val="000000" w:themeColor="text1"/>
          <w:sz w:val="44"/>
          <w:szCs w:val="44"/>
          <w:highlight w:val="none"/>
          <w14:textFill>
            <w14:solidFill>
              <w14:schemeClr w14:val="tx1"/>
            </w14:solidFill>
          </w14:textFill>
        </w:rPr>
      </w:pPr>
    </w:p>
    <w:p w14:paraId="6127F7C1">
      <w:pPr>
        <w:jc w:val="center"/>
        <w:rPr>
          <w:rFonts w:ascii="黑体" w:hAnsi="宋体" w:eastAsia="黑体" w:cs="Times New Roman"/>
          <w:bCs/>
          <w:color w:val="000000" w:themeColor="text1"/>
          <w:sz w:val="44"/>
          <w:szCs w:val="44"/>
          <w:highlight w:val="none"/>
          <w14:textFill>
            <w14:solidFill>
              <w14:schemeClr w14:val="tx1"/>
            </w14:solidFill>
          </w14:textFill>
        </w:rPr>
      </w:pPr>
    </w:p>
    <w:p w14:paraId="0EEA0082">
      <w:pPr>
        <w:jc w:val="center"/>
        <w:rPr>
          <w:rFonts w:ascii="黑体" w:hAnsi="宋体" w:eastAsia="黑体" w:cs="Times New Roman"/>
          <w:bCs/>
          <w:color w:val="000000" w:themeColor="text1"/>
          <w:sz w:val="44"/>
          <w:szCs w:val="44"/>
          <w:highlight w:val="none"/>
          <w14:textFill>
            <w14:solidFill>
              <w14:schemeClr w14:val="tx1"/>
            </w14:solidFill>
          </w14:textFill>
        </w:rPr>
      </w:pPr>
    </w:p>
    <w:p w14:paraId="779C1994">
      <w:pPr>
        <w:jc w:val="center"/>
        <w:rPr>
          <w:rFonts w:ascii="黑体" w:hAnsi="宋体" w:eastAsia="黑体" w:cs="Times New Roman"/>
          <w:bCs/>
          <w:color w:val="000000" w:themeColor="text1"/>
          <w:sz w:val="44"/>
          <w:szCs w:val="44"/>
          <w:highlight w:val="none"/>
          <w14:textFill>
            <w14:solidFill>
              <w14:schemeClr w14:val="tx1"/>
            </w14:solidFill>
          </w14:textFill>
        </w:rPr>
      </w:pPr>
    </w:p>
    <w:p w14:paraId="7B11459E">
      <w:pPr>
        <w:jc w:val="center"/>
        <w:rPr>
          <w:rFonts w:ascii="黑体" w:hAnsi="宋体" w:eastAsia="黑体" w:cs="Times New Roman"/>
          <w:bCs/>
          <w:color w:val="000000" w:themeColor="text1"/>
          <w:sz w:val="44"/>
          <w:szCs w:val="44"/>
          <w:highlight w:val="none"/>
          <w14:textFill>
            <w14:solidFill>
              <w14:schemeClr w14:val="tx1"/>
            </w14:solidFill>
          </w14:textFill>
        </w:rPr>
      </w:pPr>
    </w:p>
    <w:p w14:paraId="20BFF696">
      <w:pPr>
        <w:jc w:val="both"/>
        <w:rPr>
          <w:rFonts w:ascii="黑体" w:hAnsi="宋体" w:eastAsia="黑体" w:cs="Times New Roman"/>
          <w:bCs/>
          <w:color w:val="000000" w:themeColor="text1"/>
          <w:sz w:val="44"/>
          <w:szCs w:val="44"/>
          <w:highlight w:val="none"/>
          <w14:textFill>
            <w14:solidFill>
              <w14:schemeClr w14:val="tx1"/>
            </w14:solidFill>
          </w14:textFill>
        </w:rPr>
      </w:pPr>
    </w:p>
    <w:p w14:paraId="14AE6580">
      <w:pPr>
        <w:jc w:val="both"/>
        <w:rPr>
          <w:rFonts w:ascii="黑体" w:hAnsi="宋体" w:eastAsia="黑体" w:cs="Times New Roman"/>
          <w:bCs/>
          <w:color w:val="000000" w:themeColor="text1"/>
          <w:sz w:val="44"/>
          <w:szCs w:val="44"/>
          <w:highlight w:val="none"/>
          <w14:textFill>
            <w14:solidFill>
              <w14:schemeClr w14:val="tx1"/>
            </w14:solidFill>
          </w14:textFill>
        </w:rPr>
      </w:pPr>
    </w:p>
    <w:p w14:paraId="09B59AAB">
      <w:pPr>
        <w:jc w:val="both"/>
        <w:rPr>
          <w:rFonts w:ascii="黑体" w:hAnsi="宋体" w:eastAsia="黑体" w:cs="Times New Roman"/>
          <w:bCs/>
          <w:color w:val="000000" w:themeColor="text1"/>
          <w:sz w:val="44"/>
          <w:szCs w:val="44"/>
          <w:highlight w:val="none"/>
          <w14:textFill>
            <w14:solidFill>
              <w14:schemeClr w14:val="tx1"/>
            </w14:solidFill>
          </w14:textFill>
        </w:rPr>
      </w:pPr>
    </w:p>
    <w:p w14:paraId="53397A76">
      <w:pPr>
        <w:jc w:val="both"/>
        <w:rPr>
          <w:rFonts w:ascii="黑体" w:hAnsi="宋体" w:eastAsia="黑体" w:cs="Times New Roman"/>
          <w:bCs/>
          <w:color w:val="000000" w:themeColor="text1"/>
          <w:sz w:val="44"/>
          <w:szCs w:val="44"/>
          <w:highlight w:val="none"/>
          <w14:textFill>
            <w14:solidFill>
              <w14:schemeClr w14:val="tx1"/>
            </w14:solidFill>
          </w14:textFill>
        </w:rPr>
      </w:pPr>
    </w:p>
    <w:p w14:paraId="1C02660A">
      <w:pPr>
        <w:widowControl/>
        <w:jc w:val="center"/>
        <w:rPr>
          <w:rFonts w:hint="eastAsia" w:ascii="方正小标宋_GBK" w:hAnsi="方正小标宋_GBK" w:eastAsia="方正小标宋_GBK" w:cs="方正小标宋_GBK"/>
          <w:color w:val="000000" w:themeColor="text1"/>
          <w:kern w:val="0"/>
          <w:sz w:val="43"/>
          <w:szCs w:val="43"/>
          <w:highlight w:val="none"/>
          <w:lang w:val="en-US" w:eastAsia="zh-CN" w:bidi="ar"/>
          <w14:textFill>
            <w14:solidFill>
              <w14:schemeClr w14:val="tx1"/>
            </w14:solidFill>
          </w14:textFill>
        </w:rPr>
      </w:pPr>
      <w:r>
        <w:rPr>
          <w:rFonts w:hint="eastAsia" w:ascii="方正小标宋_GBK" w:hAnsi="方正小标宋_GBK" w:eastAsia="方正小标宋_GBK" w:cs="方正小标宋_GBK"/>
          <w:color w:val="000000" w:themeColor="text1"/>
          <w:kern w:val="0"/>
          <w:sz w:val="43"/>
          <w:szCs w:val="43"/>
          <w:highlight w:val="none"/>
          <w:lang w:bidi="ar"/>
          <w14:textFill>
            <w14:solidFill>
              <w14:schemeClr w14:val="tx1"/>
            </w14:solidFill>
          </w14:textFill>
        </w:rPr>
        <w:t>202</w:t>
      </w:r>
      <w:r>
        <w:rPr>
          <w:rFonts w:hint="eastAsia" w:ascii="方正小标宋_GBK" w:hAnsi="方正小标宋_GBK" w:eastAsia="方正小标宋_GBK" w:cs="方正小标宋_GBK"/>
          <w:color w:val="000000" w:themeColor="text1"/>
          <w:kern w:val="0"/>
          <w:sz w:val="43"/>
          <w:szCs w:val="43"/>
          <w:highlight w:val="none"/>
          <w:lang w:val="en-US" w:eastAsia="zh-CN" w:bidi="ar"/>
          <w14:textFill>
            <w14:solidFill>
              <w14:schemeClr w14:val="tx1"/>
            </w14:solidFill>
          </w14:textFill>
        </w:rPr>
        <w:t>6</w:t>
      </w:r>
      <w:r>
        <w:rPr>
          <w:rFonts w:hint="eastAsia" w:ascii="方正小标宋_GBK" w:hAnsi="方正小标宋_GBK" w:eastAsia="方正小标宋_GBK" w:cs="方正小标宋_GBK"/>
          <w:color w:val="000000" w:themeColor="text1"/>
          <w:kern w:val="0"/>
          <w:sz w:val="43"/>
          <w:szCs w:val="43"/>
          <w:highlight w:val="none"/>
          <w:lang w:eastAsia="zh-CN" w:bidi="ar"/>
          <w14:textFill>
            <w14:solidFill>
              <w14:schemeClr w14:val="tx1"/>
            </w14:solidFill>
          </w14:textFill>
        </w:rPr>
        <w:t>年</w:t>
      </w:r>
      <w:r>
        <w:rPr>
          <w:rFonts w:hint="eastAsia" w:ascii="方正小标宋_GBK" w:hAnsi="方正小标宋_GBK" w:eastAsia="方正小标宋_GBK" w:cs="方正小标宋_GBK"/>
          <w:color w:val="000000" w:themeColor="text1"/>
          <w:kern w:val="0"/>
          <w:sz w:val="43"/>
          <w:szCs w:val="43"/>
          <w:highlight w:val="none"/>
          <w:lang w:val="en-US" w:eastAsia="zh-CN" w:bidi="ar"/>
          <w14:textFill>
            <w14:solidFill>
              <w14:schemeClr w14:val="tx1"/>
            </w14:solidFill>
          </w14:textFill>
        </w:rPr>
        <w:t>1月</w:t>
      </w:r>
    </w:p>
    <w:p w14:paraId="3F266A64">
      <w:pPr>
        <w:widowControl/>
        <w:jc w:val="center"/>
        <w:rPr>
          <w:rFonts w:hint="eastAsia" w:ascii="方正小标宋_GBK" w:hAnsi="方正小标宋_GBK" w:eastAsia="方正小标宋_GBK" w:cs="方正小标宋_GBK"/>
          <w:color w:val="000000" w:themeColor="text1"/>
          <w:kern w:val="0"/>
          <w:sz w:val="43"/>
          <w:szCs w:val="43"/>
          <w:highlight w:val="none"/>
          <w:lang w:val="en-US" w:eastAsia="zh-CN" w:bidi="ar"/>
          <w14:textFill>
            <w14:solidFill>
              <w14:schemeClr w14:val="tx1"/>
            </w14:solidFill>
          </w14:textFill>
        </w:rPr>
      </w:pPr>
    </w:p>
    <w:p w14:paraId="3CA0EAAD">
      <w:pPr>
        <w:widowControl/>
        <w:jc w:val="center"/>
        <w:rPr>
          <w:rFonts w:hint="eastAsia" w:ascii="方正小标宋_GBK" w:hAnsi="方正小标宋_GBK" w:eastAsia="方正小标宋_GBK" w:cs="方正小标宋_GBK"/>
          <w:color w:val="000000" w:themeColor="text1"/>
          <w:kern w:val="0"/>
          <w:sz w:val="43"/>
          <w:szCs w:val="43"/>
          <w:highlight w:val="none"/>
          <w:lang w:val="en-US" w:eastAsia="zh-CN" w:bidi="ar"/>
          <w14:textFill>
            <w14:solidFill>
              <w14:schemeClr w14:val="tx1"/>
            </w14:solidFill>
          </w14:textFill>
        </w:rPr>
      </w:pPr>
    </w:p>
    <w:p w14:paraId="5ECF67ED">
      <w:pPr>
        <w:widowControl/>
        <w:jc w:val="center"/>
        <w:rPr>
          <w:rFonts w:hint="default" w:ascii="方正小标宋_GBK" w:hAnsi="方正小标宋_GBK" w:eastAsia="方正小标宋_GBK" w:cs="方正小标宋_GBK"/>
          <w:color w:val="000000" w:themeColor="text1"/>
          <w:kern w:val="0"/>
          <w:sz w:val="43"/>
          <w:szCs w:val="43"/>
          <w:highlight w:val="none"/>
          <w:lang w:val="en-US" w:eastAsia="zh-CN" w:bidi="ar"/>
          <w14:textFill>
            <w14:solidFill>
              <w14:schemeClr w14:val="tx1"/>
            </w14:solidFill>
          </w14:textFill>
        </w:rPr>
      </w:pPr>
    </w:p>
    <w:p w14:paraId="570593C5">
      <w:pPr>
        <w:keepNext w:val="0"/>
        <w:keepLines w:val="0"/>
        <w:pageBreakBefore w:val="0"/>
        <w:widowControl/>
        <w:kinsoku/>
        <w:wordWrap/>
        <w:overflowPunct/>
        <w:topLinePunct w:val="0"/>
        <w:autoSpaceDE/>
        <w:autoSpaceDN/>
        <w:bidi w:val="0"/>
        <w:adjustRightInd/>
        <w:snapToGrid/>
        <w:spacing w:line="600" w:lineRule="exact"/>
        <w:jc w:val="center"/>
        <w:textAlignment w:val="auto"/>
        <w:rPr>
          <w:rFonts w:hint="eastAsia" w:ascii="方正小标宋_GBK" w:hAnsi="方正小标宋_GBK" w:eastAsia="方正小标宋_GBK" w:cs="方正小标宋_GBK"/>
          <w:b w:val="0"/>
          <w:bCs w:val="0"/>
          <w:color w:val="000000" w:themeColor="text1"/>
          <w:kern w:val="0"/>
          <w:sz w:val="44"/>
          <w:szCs w:val="44"/>
          <w:highlight w:val="none"/>
          <w:lang w:bidi="ar"/>
          <w14:textFill>
            <w14:solidFill>
              <w14:schemeClr w14:val="tx1"/>
            </w14:solidFill>
          </w14:textFill>
        </w:rPr>
      </w:pPr>
      <w:r>
        <w:rPr>
          <w:rFonts w:hint="eastAsia" w:ascii="方正小标宋_GBK" w:hAnsi="方正小标宋_GBK" w:eastAsia="方正小标宋_GBK" w:cs="方正小标宋_GBK"/>
          <w:b w:val="0"/>
          <w:bCs w:val="0"/>
          <w:color w:val="000000" w:themeColor="text1"/>
          <w:kern w:val="0"/>
          <w:sz w:val="44"/>
          <w:szCs w:val="44"/>
          <w:highlight w:val="none"/>
          <w:lang w:bidi="ar"/>
          <w14:textFill>
            <w14:solidFill>
              <w14:schemeClr w14:val="tx1"/>
            </w14:solidFill>
          </w14:textFill>
        </w:rPr>
        <w:t>目  次</w:t>
      </w:r>
    </w:p>
    <w:p w14:paraId="4EFB87F0">
      <w:pPr>
        <w:keepNext w:val="0"/>
        <w:keepLines w:val="0"/>
        <w:pageBreakBefore w:val="0"/>
        <w:widowControl/>
        <w:kinsoku/>
        <w:wordWrap/>
        <w:overflowPunct/>
        <w:topLinePunct w:val="0"/>
        <w:autoSpaceDE/>
        <w:autoSpaceDN/>
        <w:bidi w:val="0"/>
        <w:adjustRightInd/>
        <w:snapToGrid/>
        <w:spacing w:line="600" w:lineRule="exact"/>
        <w:jc w:val="left"/>
        <w:textAlignment w:val="auto"/>
        <w:rPr>
          <w:rFonts w:hint="eastAsia" w:ascii="宋体" w:hAnsi="宋体" w:eastAsia="宋体" w:cs="宋体"/>
          <w:color w:val="000000" w:themeColor="text1"/>
          <w:kern w:val="0"/>
          <w:sz w:val="31"/>
          <w:szCs w:val="31"/>
          <w:highlight w:val="none"/>
          <w:lang w:bidi="ar"/>
          <w14:textFill>
            <w14:solidFill>
              <w14:schemeClr w14:val="tx1"/>
            </w14:solidFill>
          </w14:textFill>
        </w:rPr>
      </w:pPr>
    </w:p>
    <w:p w14:paraId="665A296C">
      <w:pPr>
        <w:keepNext w:val="0"/>
        <w:keepLines w:val="0"/>
        <w:pageBreakBefore w:val="0"/>
        <w:widowControl/>
        <w:kinsoku/>
        <w:wordWrap/>
        <w:overflowPunct/>
        <w:topLinePunct w:val="0"/>
        <w:autoSpaceDE/>
        <w:autoSpaceDN/>
        <w:bidi w:val="0"/>
        <w:adjustRightInd/>
        <w:snapToGrid/>
        <w:spacing w:line="600" w:lineRule="exact"/>
        <w:ind w:firstLine="310" w:firstLineChars="100"/>
        <w:jc w:val="left"/>
        <w:textAlignment w:val="auto"/>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pPr>
      <w:r>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t>一、工作简况</w:t>
      </w:r>
    </w:p>
    <w:p w14:paraId="0DD7316E">
      <w:pPr>
        <w:keepNext w:val="0"/>
        <w:keepLines w:val="0"/>
        <w:pageBreakBefore w:val="0"/>
        <w:widowControl/>
        <w:kinsoku/>
        <w:wordWrap/>
        <w:overflowPunct/>
        <w:topLinePunct w:val="0"/>
        <w:autoSpaceDE/>
        <w:autoSpaceDN/>
        <w:bidi w:val="0"/>
        <w:adjustRightInd/>
        <w:snapToGrid/>
        <w:spacing w:line="600" w:lineRule="exact"/>
        <w:ind w:firstLine="310" w:firstLineChars="100"/>
        <w:jc w:val="left"/>
        <w:textAlignment w:val="auto"/>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pPr>
      <w:r>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t>二、制定标准的必要性和意义</w:t>
      </w:r>
    </w:p>
    <w:p w14:paraId="108A0A6B">
      <w:pPr>
        <w:keepNext w:val="0"/>
        <w:keepLines w:val="0"/>
        <w:pageBreakBefore w:val="0"/>
        <w:widowControl/>
        <w:kinsoku/>
        <w:wordWrap/>
        <w:overflowPunct/>
        <w:topLinePunct w:val="0"/>
        <w:autoSpaceDE/>
        <w:autoSpaceDN/>
        <w:bidi w:val="0"/>
        <w:adjustRightInd/>
        <w:snapToGrid/>
        <w:spacing w:line="600" w:lineRule="exact"/>
        <w:ind w:firstLine="310" w:firstLineChars="100"/>
        <w:jc w:val="left"/>
        <w:textAlignment w:val="auto"/>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pPr>
      <w:r>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t>三、主要起草过程</w:t>
      </w:r>
    </w:p>
    <w:p w14:paraId="2FCEC1C0">
      <w:pPr>
        <w:keepNext w:val="0"/>
        <w:keepLines w:val="0"/>
        <w:pageBreakBefore w:val="0"/>
        <w:widowControl/>
        <w:kinsoku/>
        <w:wordWrap/>
        <w:overflowPunct/>
        <w:topLinePunct w:val="0"/>
        <w:autoSpaceDE/>
        <w:autoSpaceDN/>
        <w:bidi w:val="0"/>
        <w:adjustRightInd/>
        <w:snapToGrid/>
        <w:spacing w:line="600" w:lineRule="exact"/>
        <w:ind w:firstLine="310" w:firstLineChars="100"/>
        <w:jc w:val="left"/>
        <w:textAlignment w:val="auto"/>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pPr>
      <w:r>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t>四、制定标准的原则和依据，与现行法律、法规、标准的关系</w:t>
      </w:r>
    </w:p>
    <w:p w14:paraId="56600D43">
      <w:pPr>
        <w:keepNext w:val="0"/>
        <w:keepLines w:val="0"/>
        <w:pageBreakBefore w:val="0"/>
        <w:widowControl/>
        <w:kinsoku/>
        <w:wordWrap/>
        <w:overflowPunct/>
        <w:topLinePunct w:val="0"/>
        <w:autoSpaceDE/>
        <w:autoSpaceDN/>
        <w:bidi w:val="0"/>
        <w:adjustRightInd/>
        <w:snapToGrid/>
        <w:spacing w:line="600" w:lineRule="exact"/>
        <w:ind w:firstLine="310" w:firstLineChars="100"/>
        <w:jc w:val="left"/>
        <w:textAlignment w:val="auto"/>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pPr>
      <w:r>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t>五、主要条款的说明，主要技术指标、参数、实验验证的论述</w:t>
      </w:r>
    </w:p>
    <w:p w14:paraId="0BCAAF1A">
      <w:pPr>
        <w:keepNext w:val="0"/>
        <w:keepLines w:val="0"/>
        <w:pageBreakBefore w:val="0"/>
        <w:widowControl/>
        <w:kinsoku/>
        <w:wordWrap/>
        <w:overflowPunct/>
        <w:topLinePunct w:val="0"/>
        <w:autoSpaceDE/>
        <w:autoSpaceDN/>
        <w:bidi w:val="0"/>
        <w:adjustRightInd/>
        <w:snapToGrid/>
        <w:spacing w:line="600" w:lineRule="exact"/>
        <w:ind w:firstLine="310" w:firstLineChars="100"/>
        <w:jc w:val="left"/>
        <w:textAlignment w:val="auto"/>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pPr>
      <w:r>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t xml:space="preserve">六、重大意见分歧的处理依据和结果 </w:t>
      </w:r>
    </w:p>
    <w:p w14:paraId="5FE306F8">
      <w:pPr>
        <w:keepNext w:val="0"/>
        <w:keepLines w:val="0"/>
        <w:pageBreakBefore w:val="0"/>
        <w:widowControl/>
        <w:kinsoku/>
        <w:wordWrap/>
        <w:overflowPunct/>
        <w:topLinePunct w:val="0"/>
        <w:autoSpaceDE/>
        <w:autoSpaceDN/>
        <w:bidi w:val="0"/>
        <w:adjustRightInd/>
        <w:snapToGrid/>
        <w:spacing w:line="600" w:lineRule="exact"/>
        <w:ind w:firstLine="310" w:firstLineChars="100"/>
        <w:jc w:val="left"/>
        <w:textAlignment w:val="auto"/>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pPr>
      <w:r>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t xml:space="preserve">七、实施标准的措施建议 </w:t>
      </w:r>
    </w:p>
    <w:p w14:paraId="6F166D23">
      <w:pPr>
        <w:keepNext w:val="0"/>
        <w:keepLines w:val="0"/>
        <w:pageBreakBefore w:val="0"/>
        <w:widowControl/>
        <w:kinsoku/>
        <w:wordWrap/>
        <w:overflowPunct/>
        <w:topLinePunct w:val="0"/>
        <w:autoSpaceDE/>
        <w:autoSpaceDN/>
        <w:bidi w:val="0"/>
        <w:adjustRightInd/>
        <w:snapToGrid/>
        <w:spacing w:line="600" w:lineRule="exact"/>
        <w:ind w:firstLine="310" w:firstLineChars="100"/>
        <w:jc w:val="left"/>
        <w:textAlignment w:val="auto"/>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pPr>
      <w:r>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t>八、知识产权说明</w:t>
      </w:r>
    </w:p>
    <w:p w14:paraId="05100882">
      <w:pPr>
        <w:keepNext w:val="0"/>
        <w:keepLines w:val="0"/>
        <w:pageBreakBefore w:val="0"/>
        <w:widowControl/>
        <w:kinsoku/>
        <w:wordWrap/>
        <w:overflowPunct/>
        <w:topLinePunct w:val="0"/>
        <w:autoSpaceDE/>
        <w:autoSpaceDN/>
        <w:bidi w:val="0"/>
        <w:adjustRightInd/>
        <w:snapToGrid/>
        <w:spacing w:line="600" w:lineRule="exact"/>
        <w:ind w:firstLine="310" w:firstLineChars="100"/>
        <w:jc w:val="left"/>
        <w:textAlignment w:val="auto"/>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pPr>
      <w:r>
        <w:rPr>
          <w:rFonts w:hint="eastAsia" w:ascii="宋体" w:hAnsi="宋体" w:eastAsia="宋体" w:cs="宋体"/>
          <w:color w:val="000000" w:themeColor="text1"/>
          <w:kern w:val="0"/>
          <w:sz w:val="31"/>
          <w:szCs w:val="31"/>
          <w:highlight w:val="none"/>
          <w:lang w:val="en-US" w:eastAsia="zh-CN" w:bidi="ar"/>
          <w14:textFill>
            <w14:solidFill>
              <w14:schemeClr w14:val="tx1"/>
            </w14:solidFill>
          </w14:textFill>
        </w:rPr>
        <w:t xml:space="preserve">九、其他应予说明的事项 </w:t>
      </w:r>
    </w:p>
    <w:p w14:paraId="4448D849">
      <w:pPr>
        <w:rPr>
          <w:rFonts w:hint="eastAsia" w:ascii="黑体" w:hAnsi="宋体" w:eastAsia="黑体" w:cs="Times New Roman"/>
          <w:bCs/>
          <w:color w:val="000000" w:themeColor="text1"/>
          <w:sz w:val="36"/>
          <w:szCs w:val="36"/>
          <w:highlight w:val="none"/>
          <w14:textFill>
            <w14:solidFill>
              <w14:schemeClr w14:val="tx1"/>
            </w14:solidFill>
          </w14:textFill>
        </w:rPr>
      </w:pPr>
    </w:p>
    <w:p w14:paraId="2861A1D2">
      <w:pPr>
        <w:rPr>
          <w:rFonts w:hint="eastAsia" w:ascii="黑体" w:hAnsi="宋体" w:eastAsia="黑体" w:cs="Times New Roman"/>
          <w:bCs/>
          <w:color w:val="000000" w:themeColor="text1"/>
          <w:sz w:val="36"/>
          <w:szCs w:val="36"/>
          <w:highlight w:val="none"/>
          <w14:textFill>
            <w14:solidFill>
              <w14:schemeClr w14:val="tx1"/>
            </w14:solidFill>
          </w14:textFill>
        </w:rPr>
      </w:pPr>
    </w:p>
    <w:p w14:paraId="20F7A200">
      <w:pPr>
        <w:rPr>
          <w:rFonts w:hint="eastAsia" w:ascii="黑体" w:hAnsi="宋体" w:eastAsia="黑体" w:cs="Times New Roman"/>
          <w:bCs/>
          <w:color w:val="000000" w:themeColor="text1"/>
          <w:sz w:val="36"/>
          <w:szCs w:val="36"/>
          <w:highlight w:val="none"/>
          <w14:textFill>
            <w14:solidFill>
              <w14:schemeClr w14:val="tx1"/>
            </w14:solidFill>
          </w14:textFill>
        </w:rPr>
      </w:pPr>
    </w:p>
    <w:p w14:paraId="273E0F7B">
      <w:pPr>
        <w:rPr>
          <w:rFonts w:hint="eastAsia" w:ascii="黑体" w:hAnsi="宋体" w:eastAsia="黑体" w:cs="Times New Roman"/>
          <w:bCs/>
          <w:color w:val="000000" w:themeColor="text1"/>
          <w:sz w:val="36"/>
          <w:szCs w:val="36"/>
          <w:highlight w:val="none"/>
          <w14:textFill>
            <w14:solidFill>
              <w14:schemeClr w14:val="tx1"/>
            </w14:solidFill>
          </w14:textFill>
        </w:rPr>
      </w:pPr>
    </w:p>
    <w:p w14:paraId="5C1B3ADD">
      <w:pPr>
        <w:rPr>
          <w:rFonts w:hint="eastAsia" w:ascii="黑体" w:hAnsi="宋体" w:eastAsia="黑体" w:cs="Times New Roman"/>
          <w:bCs/>
          <w:color w:val="000000" w:themeColor="text1"/>
          <w:sz w:val="36"/>
          <w:szCs w:val="36"/>
          <w:highlight w:val="none"/>
          <w14:textFill>
            <w14:solidFill>
              <w14:schemeClr w14:val="tx1"/>
            </w14:solidFill>
          </w14:textFill>
        </w:rPr>
      </w:pPr>
    </w:p>
    <w:p w14:paraId="6C88E613">
      <w:pPr>
        <w:rPr>
          <w:rFonts w:hint="eastAsia" w:ascii="黑体" w:hAnsi="宋体" w:eastAsia="黑体" w:cs="Times New Roman"/>
          <w:bCs/>
          <w:color w:val="000000" w:themeColor="text1"/>
          <w:sz w:val="36"/>
          <w:szCs w:val="36"/>
          <w:highlight w:val="none"/>
          <w14:textFill>
            <w14:solidFill>
              <w14:schemeClr w14:val="tx1"/>
            </w14:solidFill>
          </w14:textFill>
        </w:rPr>
      </w:pPr>
    </w:p>
    <w:p w14:paraId="26DD9082">
      <w:pPr>
        <w:rPr>
          <w:rFonts w:hint="eastAsia" w:ascii="黑体" w:hAnsi="宋体" w:eastAsia="黑体" w:cs="Times New Roman"/>
          <w:bCs/>
          <w:color w:val="000000" w:themeColor="text1"/>
          <w:sz w:val="36"/>
          <w:szCs w:val="36"/>
          <w:highlight w:val="none"/>
          <w14:textFill>
            <w14:solidFill>
              <w14:schemeClr w14:val="tx1"/>
            </w14:solidFill>
          </w14:textFill>
        </w:rPr>
      </w:pPr>
    </w:p>
    <w:p w14:paraId="2BCFD651">
      <w:pPr>
        <w:rPr>
          <w:rFonts w:hint="eastAsia" w:ascii="黑体" w:hAnsi="宋体" w:eastAsia="黑体" w:cs="Times New Roman"/>
          <w:bCs/>
          <w:color w:val="000000" w:themeColor="text1"/>
          <w:sz w:val="36"/>
          <w:szCs w:val="36"/>
          <w:highlight w:val="none"/>
          <w14:textFill>
            <w14:solidFill>
              <w14:schemeClr w14:val="tx1"/>
            </w14:solidFill>
          </w14:textFill>
        </w:rPr>
      </w:pPr>
    </w:p>
    <w:p w14:paraId="65AA1869">
      <w:pPr>
        <w:rPr>
          <w:rFonts w:hint="eastAsia" w:ascii="黑体" w:hAnsi="宋体" w:eastAsia="黑体" w:cs="Times New Roman"/>
          <w:bCs/>
          <w:color w:val="000000" w:themeColor="text1"/>
          <w:sz w:val="36"/>
          <w:szCs w:val="36"/>
          <w:highlight w:val="none"/>
          <w14:textFill>
            <w14:solidFill>
              <w14:schemeClr w14:val="tx1"/>
            </w14:solidFill>
          </w14:textFill>
        </w:rPr>
      </w:pPr>
    </w:p>
    <w:p w14:paraId="06205257">
      <w:pPr>
        <w:rPr>
          <w:rFonts w:hint="eastAsia" w:ascii="黑体" w:hAnsi="宋体" w:eastAsia="黑体" w:cs="Times New Roman"/>
          <w:bCs/>
          <w:color w:val="000000" w:themeColor="text1"/>
          <w:sz w:val="36"/>
          <w:szCs w:val="36"/>
          <w:highlight w:val="none"/>
          <w14:textFill>
            <w14:solidFill>
              <w14:schemeClr w14:val="tx1"/>
            </w14:solidFill>
          </w14:textFill>
        </w:rPr>
      </w:pPr>
    </w:p>
    <w:p w14:paraId="7D29F2A8">
      <w:pPr>
        <w:rPr>
          <w:rFonts w:ascii="Times New Roman" w:hAnsi="Times New Roman" w:eastAsia="黑体" w:cs="Times New Roman"/>
          <w:bCs/>
          <w:color w:val="000000" w:themeColor="text1"/>
          <w:sz w:val="30"/>
          <w:szCs w:val="30"/>
          <w:highlight w:val="none"/>
          <w14:textFill>
            <w14:solidFill>
              <w14:schemeClr w14:val="tx1"/>
            </w14:solidFill>
          </w14:textFill>
        </w:rPr>
      </w:pPr>
    </w:p>
    <w:p w14:paraId="7511E437">
      <w:pPr>
        <w:jc w:val="center"/>
        <w:rPr>
          <w:rFonts w:hint="eastAsia" w:ascii="黑体" w:hAnsi="宋体" w:eastAsia="黑体" w:cs="Times New Roman"/>
          <w:b/>
          <w:color w:val="000000" w:themeColor="text1"/>
          <w:sz w:val="30"/>
          <w:szCs w:val="30"/>
          <w:highlight w:val="none"/>
          <w14:textFill>
            <w14:solidFill>
              <w14:schemeClr w14:val="tx1"/>
            </w14:solidFill>
          </w14:textFill>
        </w:rPr>
      </w:pPr>
      <w:bookmarkStart w:id="0" w:name="OLE_LINK2"/>
      <w:r>
        <w:rPr>
          <w:rFonts w:hint="eastAsia" w:ascii="黑体" w:hAnsi="宋体" w:eastAsia="黑体" w:cs="Times New Roman"/>
          <w:b/>
          <w:color w:val="000000" w:themeColor="text1"/>
          <w:sz w:val="30"/>
          <w:szCs w:val="30"/>
          <w:highlight w:val="none"/>
          <w14:textFill>
            <w14:solidFill>
              <w14:schemeClr w14:val="tx1"/>
            </w14:solidFill>
          </w14:textFill>
        </w:rPr>
        <w:t>《牛球虫病诊断和防制技术规程》编制说明</w:t>
      </w:r>
    </w:p>
    <w:p w14:paraId="7528D8EF">
      <w:pPr>
        <w:jc w:val="center"/>
        <w:rPr>
          <w:rFonts w:hint="eastAsia" w:ascii="黑体" w:hAnsi="宋体" w:eastAsia="黑体" w:cs="Times New Roman"/>
          <w:b/>
          <w:bCs w:val="0"/>
          <w:color w:val="000000" w:themeColor="text1"/>
          <w:sz w:val="30"/>
          <w:szCs w:val="30"/>
          <w:highlight w:val="none"/>
          <w14:textFill>
            <w14:solidFill>
              <w14:schemeClr w14:val="tx1"/>
            </w14:solidFill>
          </w14:textFill>
        </w:rPr>
      </w:pPr>
      <w:r>
        <w:rPr>
          <w:rFonts w:hint="eastAsia" w:ascii="黑体" w:hAnsi="宋体" w:eastAsia="黑体" w:cs="Times New Roman"/>
          <w:b/>
          <w:bCs w:val="0"/>
          <w:color w:val="000000" w:themeColor="text1"/>
          <w:sz w:val="30"/>
          <w:szCs w:val="30"/>
          <w:highlight w:val="none"/>
          <w14:textFill>
            <w14:solidFill>
              <w14:schemeClr w14:val="tx1"/>
            </w14:solidFill>
          </w14:textFill>
        </w:rPr>
        <w:t>（征求意见稿）</w:t>
      </w:r>
    </w:p>
    <w:p w14:paraId="77F58AFB">
      <w:pPr>
        <w:pStyle w:val="26"/>
        <w:spacing w:line="360" w:lineRule="auto"/>
        <w:ind w:left="0" w:leftChars="0" w:firstLine="0" w:firstLineChars="0"/>
        <w:rPr>
          <w:rFonts w:hint="eastAsia" w:ascii="宋体" w:hAnsi="宋体" w:eastAsia="宋体" w:cs="宋体"/>
          <w:b/>
          <w:bCs w:val="0"/>
          <w:color w:val="000000" w:themeColor="text1"/>
          <w:sz w:val="28"/>
          <w:szCs w:val="28"/>
          <w:highlight w:val="none"/>
          <w:lang w:val="en-US" w:eastAsia="zh-CN"/>
          <w14:textFill>
            <w14:solidFill>
              <w14:schemeClr w14:val="tx1"/>
            </w14:solidFill>
          </w14:textFill>
        </w:rPr>
      </w:pPr>
      <w:r>
        <w:rPr>
          <w:rFonts w:hint="eastAsia" w:ascii="宋体" w:hAnsi="宋体" w:eastAsia="宋体" w:cs="宋体"/>
          <w:b/>
          <w:bCs w:val="0"/>
          <w:color w:val="000000" w:themeColor="text1"/>
          <w:sz w:val="28"/>
          <w:szCs w:val="28"/>
          <w:highlight w:val="none"/>
          <w:lang w:val="en-US" w:eastAsia="zh-CN"/>
          <w14:textFill>
            <w14:solidFill>
              <w14:schemeClr w14:val="tx1"/>
            </w14:solidFill>
          </w14:textFill>
        </w:rPr>
        <w:t>一、工作简况</w:t>
      </w:r>
    </w:p>
    <w:bookmarkEnd w:id="0"/>
    <w:p w14:paraId="27B11C4B">
      <w:pPr>
        <w:pStyle w:val="26"/>
        <w:spacing w:line="360" w:lineRule="auto"/>
        <w:ind w:firstLine="482"/>
        <w:rPr>
          <w:rFonts w:hint="eastAsia" w:ascii="宋体" w:hAnsi="宋体" w:eastAsia="宋体" w:cs="Times New Roman"/>
          <w:b/>
          <w:bCs w:val="0"/>
          <w:color w:val="000000" w:themeColor="text1"/>
          <w:sz w:val="24"/>
          <w:highlight w:val="none"/>
          <w:lang w:val="en-US" w:eastAsia="zh-CN"/>
          <w14:textFill>
            <w14:solidFill>
              <w14:schemeClr w14:val="tx1"/>
            </w14:solidFill>
          </w14:textFill>
        </w:rPr>
      </w:pPr>
      <w:r>
        <w:rPr>
          <w:rFonts w:hint="eastAsia" w:ascii="宋体" w:hAnsi="宋体" w:eastAsia="宋体" w:cs="Times New Roman"/>
          <w:b/>
          <w:bCs w:val="0"/>
          <w:color w:val="000000" w:themeColor="text1"/>
          <w:sz w:val="24"/>
          <w:highlight w:val="none"/>
          <w:lang w:val="en-US" w:eastAsia="zh-CN"/>
          <w14:textFill>
            <w14:solidFill>
              <w14:schemeClr w14:val="tx1"/>
            </w14:solidFill>
          </w14:textFill>
        </w:rPr>
        <w:t>（一）任务来源</w:t>
      </w:r>
    </w:p>
    <w:p w14:paraId="7F26BE19">
      <w:pPr>
        <w:pStyle w:val="26"/>
        <w:spacing w:line="360" w:lineRule="auto"/>
        <w:ind w:firstLine="482"/>
        <w:rPr>
          <w:rFonts w:hint="eastAsia" w:ascii="仿宋_GB2312" w:hAnsi="Times New Roman" w:eastAsia="宋体" w:cs="Times New Roman"/>
          <w:color w:val="000000" w:themeColor="text1"/>
          <w:sz w:val="24"/>
          <w:highlight w:val="none"/>
          <w:lang w:val="en-US" w:eastAsia="zh-CN"/>
          <w14:textFill>
            <w14:solidFill>
              <w14:schemeClr w14:val="tx1"/>
            </w14:solidFill>
          </w14:textFill>
        </w:rPr>
      </w:pPr>
      <w:r>
        <w:rPr>
          <w:rFonts w:hint="eastAsia" w:ascii="仿宋_GB2312" w:hAnsi="Times New Roman" w:eastAsia="宋体" w:cs="Times New Roman"/>
          <w:color w:val="000000" w:themeColor="text1"/>
          <w:sz w:val="24"/>
          <w:highlight w:val="none"/>
          <w:lang w:val="en-US" w:eastAsia="zh-CN"/>
          <w14:textFill>
            <w14:solidFill>
              <w14:schemeClr w14:val="tx1"/>
            </w14:solidFill>
          </w14:textFill>
        </w:rPr>
        <w:t>根据我区肉牛球虫病防控需求，并弥补原有宁夏地方标准的缺陷，2024年1月，由宁夏农林科学院动物科学研究所提出，申请将团队制定的《宁夏奶牛球虫病诊断和防制技术规范》地方标准修订为《牛球虫病诊断和防制技术规程》，相应申报了编制地方标准的材料。2025年12月25日，按照《自治区市场监管厅关于下达2025年宁夏地方标准制（修）订计划的通知》的要求，批准并下达了《</w:t>
      </w:r>
      <w:r>
        <w:rPr>
          <w:rFonts w:hint="eastAsia" w:ascii="仿宋_GB2312" w:hAnsi="Times New Roman" w:eastAsia="宋体" w:cs="Times New Roman"/>
          <w:color w:val="000000" w:themeColor="text1"/>
          <w:sz w:val="24"/>
          <w:highlight w:val="none"/>
          <w14:textFill>
            <w14:solidFill>
              <w14:schemeClr w14:val="tx1"/>
            </w14:solidFill>
          </w14:textFill>
        </w:rPr>
        <w:t>宁夏奶牛球虫病诊断和防制技术规范</w:t>
      </w:r>
      <w:r>
        <w:rPr>
          <w:rFonts w:hint="eastAsia" w:ascii="仿宋_GB2312" w:hAnsi="Times New Roman" w:eastAsia="宋体" w:cs="Times New Roman"/>
          <w:color w:val="000000" w:themeColor="text1"/>
          <w:sz w:val="24"/>
          <w:highlight w:val="none"/>
          <w:lang w:val="en-US" w:eastAsia="zh-CN"/>
          <w14:textFill>
            <w14:solidFill>
              <w14:schemeClr w14:val="tx1"/>
            </w14:solidFill>
          </w14:textFill>
        </w:rPr>
        <w:t>》</w:t>
      </w:r>
      <w:r>
        <w:rPr>
          <w:rFonts w:hint="eastAsia" w:ascii="仿宋_GB2312" w:hAnsi="Times New Roman" w:eastAsia="宋体" w:cs="Times New Roman"/>
          <w:color w:val="000000" w:themeColor="text1"/>
          <w:sz w:val="24"/>
          <w:highlight w:val="none"/>
          <w:lang w:eastAsia="zh-CN"/>
          <w14:textFill>
            <w14:solidFill>
              <w14:schemeClr w14:val="tx1"/>
            </w14:solidFill>
          </w14:textFill>
        </w:rPr>
        <w:t>（</w:t>
      </w:r>
      <w:r>
        <w:rPr>
          <w:rFonts w:hint="eastAsia" w:ascii="仿宋_GB2312" w:hAnsi="Times New Roman" w:eastAsia="宋体" w:cs="Times New Roman"/>
          <w:color w:val="000000" w:themeColor="text1"/>
          <w:sz w:val="24"/>
          <w:highlight w:val="none"/>
          <w:lang w:val="en-US" w:eastAsia="zh-CN"/>
          <w14:textFill>
            <w14:solidFill>
              <w14:schemeClr w14:val="tx1"/>
            </w14:solidFill>
          </w14:textFill>
        </w:rPr>
        <w:t>DB/T1723-2020</w:t>
      </w:r>
      <w:r>
        <w:rPr>
          <w:rFonts w:hint="eastAsia" w:ascii="仿宋_GB2312" w:hAnsi="Times New Roman" w:eastAsia="宋体" w:cs="Times New Roman"/>
          <w:color w:val="000000" w:themeColor="text1"/>
          <w:sz w:val="24"/>
          <w:highlight w:val="none"/>
          <w:lang w:eastAsia="zh-CN"/>
          <w14:textFill>
            <w14:solidFill>
              <w14:schemeClr w14:val="tx1"/>
            </w14:solidFill>
          </w14:textFill>
        </w:rPr>
        <w:t>）</w:t>
      </w:r>
      <w:r>
        <w:rPr>
          <w:rFonts w:hint="eastAsia" w:ascii="仿宋_GB2312" w:hAnsi="Times New Roman" w:eastAsia="宋体" w:cs="Times New Roman"/>
          <w:color w:val="000000" w:themeColor="text1"/>
          <w:sz w:val="24"/>
          <w:highlight w:val="none"/>
          <w14:textFill>
            <w14:solidFill>
              <w14:schemeClr w14:val="tx1"/>
            </w14:solidFill>
          </w14:textFill>
        </w:rPr>
        <w:t>地</w:t>
      </w:r>
      <w:r>
        <w:rPr>
          <w:rFonts w:hint="eastAsia" w:ascii="仿宋_GB2312" w:hAnsi="Times New Roman" w:eastAsia="宋体" w:cs="Times New Roman"/>
          <w:color w:val="000000" w:themeColor="text1"/>
          <w:sz w:val="24"/>
          <w:highlight w:val="none"/>
          <w:lang w:val="en-US" w:eastAsia="zh-CN"/>
          <w14:textFill>
            <w14:solidFill>
              <w14:schemeClr w14:val="tx1"/>
            </w14:solidFill>
          </w14:textFill>
        </w:rPr>
        <w:t>标</w:t>
      </w:r>
      <w:r>
        <w:rPr>
          <w:rFonts w:hint="eastAsia" w:ascii="仿宋_GB2312" w:hAnsi="Times New Roman" w:eastAsia="宋体" w:cs="Times New Roman"/>
          <w:color w:val="000000" w:themeColor="text1"/>
          <w:sz w:val="24"/>
          <w:highlight w:val="none"/>
          <w:lang w:eastAsia="zh-CN"/>
          <w14:textFill>
            <w14:solidFill>
              <w14:schemeClr w14:val="tx1"/>
            </w14:solidFill>
          </w14:textFill>
        </w:rPr>
        <w:t>（</w:t>
      </w:r>
      <w:r>
        <w:rPr>
          <w:rFonts w:hint="eastAsia" w:ascii="仿宋_GB2312" w:hAnsi="Times New Roman" w:eastAsia="宋体" w:cs="Times New Roman"/>
          <w:color w:val="000000" w:themeColor="text1"/>
          <w:sz w:val="24"/>
          <w:highlight w:val="none"/>
          <w14:textFill>
            <w14:solidFill>
              <w14:schemeClr w14:val="tx1"/>
            </w14:solidFill>
          </w14:textFill>
        </w:rPr>
        <w:t>修</w:t>
      </w:r>
      <w:r>
        <w:rPr>
          <w:rFonts w:hint="eastAsia" w:ascii="仿宋_GB2312" w:hAnsi="Times New Roman" w:eastAsia="宋体" w:cs="Times New Roman"/>
          <w:color w:val="000000" w:themeColor="text1"/>
          <w:sz w:val="24"/>
          <w:highlight w:val="none"/>
          <w:lang w:eastAsia="zh-CN"/>
          <w14:textFill>
            <w14:solidFill>
              <w14:schemeClr w14:val="tx1"/>
            </w14:solidFill>
          </w14:textFill>
        </w:rPr>
        <w:t>）</w:t>
      </w:r>
      <w:r>
        <w:rPr>
          <w:rFonts w:hint="eastAsia" w:ascii="仿宋_GB2312" w:hAnsi="Times New Roman" w:eastAsia="宋体" w:cs="Times New Roman"/>
          <w:color w:val="000000" w:themeColor="text1"/>
          <w:sz w:val="24"/>
          <w:highlight w:val="none"/>
          <w14:textFill>
            <w14:solidFill>
              <w14:schemeClr w14:val="tx1"/>
            </w14:solidFill>
          </w14:textFill>
        </w:rPr>
        <w:t>订</w:t>
      </w:r>
      <w:r>
        <w:rPr>
          <w:rFonts w:hint="eastAsia" w:ascii="仿宋_GB2312" w:hAnsi="Times New Roman" w:eastAsia="宋体" w:cs="Times New Roman"/>
          <w:color w:val="000000" w:themeColor="text1"/>
          <w:sz w:val="24"/>
          <w:highlight w:val="none"/>
          <w:lang w:val="en-US" w:eastAsia="zh-CN"/>
          <w14:textFill>
            <w14:solidFill>
              <w14:schemeClr w14:val="tx1"/>
            </w14:solidFill>
          </w14:textFill>
        </w:rPr>
        <w:t>计划，标准由宁夏回族自治区农业农村厅提出并归口。</w:t>
      </w:r>
    </w:p>
    <w:p w14:paraId="5B7153DB">
      <w:pPr>
        <w:pStyle w:val="26"/>
        <w:spacing w:line="360" w:lineRule="auto"/>
        <w:ind w:firstLine="482"/>
        <w:rPr>
          <w:rFonts w:hint="eastAsia" w:ascii="宋体" w:hAnsi="宋体" w:eastAsia="宋体" w:cs="Times New Roman"/>
          <w:b/>
          <w:bCs w:val="0"/>
          <w:color w:val="000000" w:themeColor="text1"/>
          <w:sz w:val="24"/>
          <w:highlight w:val="none"/>
          <w14:textFill>
            <w14:solidFill>
              <w14:schemeClr w14:val="tx1"/>
            </w14:solidFill>
          </w14:textFill>
        </w:rPr>
      </w:pPr>
      <w:r>
        <w:rPr>
          <w:rFonts w:hint="eastAsia" w:ascii="宋体" w:hAnsi="宋体" w:eastAsia="宋体" w:cs="Times New Roman"/>
          <w:b/>
          <w:bCs w:val="0"/>
          <w:color w:val="000000" w:themeColor="text1"/>
          <w:sz w:val="24"/>
          <w:highlight w:val="none"/>
          <w14:textFill>
            <w14:solidFill>
              <w14:schemeClr w14:val="tx1"/>
            </w14:solidFill>
          </w14:textFill>
        </w:rPr>
        <w:t>（二）起草单位</w:t>
      </w:r>
    </w:p>
    <w:p w14:paraId="5BE36F8C">
      <w:pPr>
        <w:spacing w:line="360" w:lineRule="auto"/>
        <w:ind w:firstLine="480" w:firstLineChars="200"/>
        <w:rPr>
          <w:rFonts w:ascii="仿宋_GB2312" w:hAnsi="Times New Roman" w:eastAsia="宋体" w:cs="Times New Roman"/>
          <w:color w:val="000000" w:themeColor="text1"/>
          <w:sz w:val="24"/>
          <w:highlight w:val="none"/>
          <w14:textFill>
            <w14:solidFill>
              <w14:schemeClr w14:val="tx1"/>
            </w14:solidFill>
          </w14:textFill>
        </w:rPr>
      </w:pPr>
      <w:r>
        <w:rPr>
          <w:rFonts w:hint="eastAsia" w:ascii="Times New Roman" w:hAnsi="Times New Roman" w:eastAsia="宋体" w:cs="Times New Roman"/>
          <w:color w:val="000000" w:themeColor="text1"/>
          <w:sz w:val="24"/>
          <w:highlight w:val="none"/>
          <w14:textFill>
            <w14:solidFill>
              <w14:schemeClr w14:val="tx1"/>
            </w14:solidFill>
          </w14:textFill>
        </w:rPr>
        <w:t>本标准</w:t>
      </w:r>
      <w:r>
        <w:rPr>
          <w:rFonts w:hint="eastAsia" w:ascii="仿宋_GB2312" w:hAnsi="Times New Roman" w:eastAsia="宋体" w:cs="Times New Roman"/>
          <w:color w:val="000000" w:themeColor="text1"/>
          <w:sz w:val="24"/>
          <w:highlight w:val="none"/>
          <w14:textFill>
            <w14:solidFill>
              <w14:schemeClr w14:val="tx1"/>
            </w14:solidFill>
          </w14:textFill>
        </w:rPr>
        <w:t>起草单位：宁夏农林科学院动物科学研究所。</w:t>
      </w:r>
    </w:p>
    <w:p w14:paraId="29ACAE33">
      <w:pPr>
        <w:spacing w:line="360" w:lineRule="auto"/>
        <w:ind w:firstLine="480" w:firstLineChars="200"/>
        <w:rPr>
          <w:rFonts w:ascii="仿宋_GB2312" w:hAnsi="Times New Roman" w:eastAsia="宋体" w:cs="Times New Roman"/>
          <w:color w:val="000000" w:themeColor="text1"/>
          <w:sz w:val="24"/>
          <w:highlight w:val="none"/>
          <w14:textFill>
            <w14:solidFill>
              <w14:schemeClr w14:val="tx1"/>
            </w14:solidFill>
          </w14:textFill>
        </w:rPr>
      </w:pPr>
      <w:r>
        <w:rPr>
          <w:rFonts w:hint="eastAsia" w:ascii="Times New Roman" w:hAnsi="Times New Roman" w:eastAsia="宋体" w:cs="Times New Roman"/>
          <w:color w:val="000000" w:themeColor="text1"/>
          <w:sz w:val="24"/>
          <w:highlight w:val="none"/>
          <w14:textFill>
            <w14:solidFill>
              <w14:schemeClr w14:val="tx1"/>
            </w14:solidFill>
          </w14:textFill>
        </w:rPr>
        <w:t>本标准</w:t>
      </w:r>
      <w:r>
        <w:rPr>
          <w:rFonts w:hint="eastAsia" w:ascii="仿宋_GB2312" w:hAnsi="Times New Roman" w:eastAsia="宋体" w:cs="Times New Roman"/>
          <w:color w:val="000000" w:themeColor="text1"/>
          <w:sz w:val="24"/>
          <w:highlight w:val="none"/>
          <w:lang w:val="en-US" w:eastAsia="zh-CN"/>
          <w14:textFill>
            <w14:solidFill>
              <w14:schemeClr w14:val="tx1"/>
            </w14:solidFill>
          </w14:textFill>
        </w:rPr>
        <w:t>协作</w:t>
      </w:r>
      <w:r>
        <w:rPr>
          <w:rFonts w:hint="eastAsia" w:ascii="仿宋_GB2312" w:hAnsi="Times New Roman" w:eastAsia="宋体" w:cs="Times New Roman"/>
          <w:color w:val="000000" w:themeColor="text1"/>
          <w:sz w:val="24"/>
          <w:highlight w:val="none"/>
          <w14:textFill>
            <w14:solidFill>
              <w14:schemeClr w14:val="tx1"/>
            </w14:solidFill>
          </w14:textFill>
        </w:rPr>
        <w:t>单位：</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华南农业大学、</w:t>
      </w:r>
      <w:r>
        <w:rPr>
          <w:rFonts w:hint="eastAsia" w:ascii="Times New Roman" w:hAnsi="Times New Roman" w:eastAsia="宋体" w:cs="Times New Roman"/>
          <w:color w:val="000000" w:themeColor="text1"/>
          <w:sz w:val="24"/>
          <w:highlight w:val="none"/>
          <w14:textFill>
            <w14:solidFill>
              <w14:schemeClr w14:val="tx1"/>
            </w14:solidFill>
          </w14:textFill>
        </w:rPr>
        <w:t>北方民族大学、西南医科大学附属医院、固原市畜牧水产技术推广服务中心、原州区畜牧技术推广服务中</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心</w:t>
      </w:r>
      <w:r>
        <w:rPr>
          <w:rFonts w:hint="eastAsia" w:ascii="Times New Roman" w:hAnsi="Times New Roman" w:eastAsia="宋体" w:cs="Times New Roman"/>
          <w:color w:val="000000" w:themeColor="text1"/>
          <w:sz w:val="24"/>
          <w:highlight w:val="none"/>
          <w14:textFill>
            <w14:solidFill>
              <w14:schemeClr w14:val="tx1"/>
            </w14:solidFill>
          </w14:textFill>
        </w:rPr>
        <w:t>、固原市职业技术学校、西北农林科技大学、宁夏农垦贺兰山奶业有限公司</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highlight w:val="none"/>
          <w14:textFill>
            <w14:solidFill>
              <w14:schemeClr w14:val="tx1"/>
            </w14:solidFill>
          </w14:textFill>
        </w:rPr>
        <w:t>宁夏农林科学院畜牧兽医研究所（有限公司）</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highlight w:val="none"/>
          <w14:textFill>
            <w14:solidFill>
              <w14:schemeClr w14:val="tx1"/>
            </w14:solidFill>
          </w14:textFill>
        </w:rPr>
        <w:t>吴忠市利通区农业农村局、平罗县农业农村局</w:t>
      </w:r>
      <w:r>
        <w:rPr>
          <w:rFonts w:hint="eastAsia" w:ascii="仿宋_GB2312" w:hAnsi="Times New Roman" w:eastAsia="宋体" w:cs="Times New Roman"/>
          <w:color w:val="000000" w:themeColor="text1"/>
          <w:sz w:val="24"/>
          <w:highlight w:val="none"/>
          <w14:textFill>
            <w14:solidFill>
              <w14:schemeClr w14:val="tx1"/>
            </w14:solidFill>
          </w14:textFill>
        </w:rPr>
        <w:t>。</w:t>
      </w:r>
    </w:p>
    <w:p w14:paraId="6A8A7186">
      <w:pPr>
        <w:pStyle w:val="26"/>
        <w:spacing w:line="360" w:lineRule="auto"/>
        <w:ind w:firstLine="482"/>
        <w:rPr>
          <w:rFonts w:hint="eastAsia" w:ascii="宋体" w:hAnsi="宋体" w:eastAsia="宋体" w:cs="Times New Roman"/>
          <w:b/>
          <w:bCs w:val="0"/>
          <w:color w:val="000000" w:themeColor="text1"/>
          <w:sz w:val="24"/>
          <w:highlight w:val="none"/>
          <w:lang w:val="en-US" w:eastAsia="zh-CN"/>
          <w14:textFill>
            <w14:solidFill>
              <w14:schemeClr w14:val="tx1"/>
            </w14:solidFill>
          </w14:textFill>
        </w:rPr>
      </w:pPr>
      <w:bookmarkStart w:id="1" w:name="page2"/>
      <w:bookmarkEnd w:id="1"/>
      <w:r>
        <w:rPr>
          <w:rFonts w:hint="eastAsia" w:ascii="宋体" w:hAnsi="宋体" w:eastAsia="宋体" w:cs="Times New Roman"/>
          <w:b/>
          <w:bCs w:val="0"/>
          <w:color w:val="000000" w:themeColor="text1"/>
          <w:sz w:val="24"/>
          <w:highlight w:val="none"/>
          <w14:textFill>
            <w14:solidFill>
              <w14:schemeClr w14:val="tx1"/>
            </w14:solidFill>
          </w14:textFill>
        </w:rPr>
        <w:t>（三）主要</w:t>
      </w:r>
      <w:r>
        <w:rPr>
          <w:rFonts w:hint="eastAsia" w:ascii="宋体" w:hAnsi="宋体" w:eastAsia="宋体" w:cs="Times New Roman"/>
          <w:b/>
          <w:bCs w:val="0"/>
          <w:color w:val="000000" w:themeColor="text1"/>
          <w:sz w:val="24"/>
          <w:highlight w:val="none"/>
          <w:lang w:eastAsia="zh-CN"/>
          <w14:textFill>
            <w14:solidFill>
              <w14:schemeClr w14:val="tx1"/>
            </w14:solidFill>
          </w14:textFill>
        </w:rPr>
        <w:t>起草人及分工</w:t>
      </w:r>
    </w:p>
    <w:p w14:paraId="79DA2C4D">
      <w:p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2025年标准修订任务下达后，宁夏农林科学院动物科学研究所牵头，立即成立了标准起草技术专家小组，主要由宁夏农林科学院动物科学研究所和华南农业大学具有丰富经验的高级专家组成。技术专家小组的任务是对标准起草进行技术把关，研讨标准的框架、内容和技术方法。其次，按照项目任务书的要求，根据技术专家小组研究确定的标准起草内容，组织相关技术领域的专家，成立标准起草编制工作组，编制工作组由技术专家小组的部分成员、相关检测技术人员及民间具有丰富的中兽医临床诊疗经验的技术人员组成。标准编制小组对该标准的具体工作进行了认真研究，确定了总体工作方案，制定工作计划，落实分工，详见表 1。</w:t>
      </w:r>
    </w:p>
    <w:p w14:paraId="2D44AE5E">
      <w:p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p>
    <w:p w14:paraId="25D17B2F">
      <w:p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bookmarkStart w:id="10" w:name="_GoBack"/>
      <w:bookmarkEnd w:id="10"/>
    </w:p>
    <w:p w14:paraId="232E71F0">
      <w:pPr>
        <w:widowControl w:val="0"/>
        <w:spacing w:line="360" w:lineRule="auto"/>
        <w:ind w:firstLine="480" w:firstLineChars="200"/>
        <w:jc w:val="center"/>
        <w:rPr>
          <w:rFonts w:hint="eastAsia" w:ascii="仿宋_GB2312" w:hAnsi="Times New Roman" w:eastAsia="宋体" w:cs="Times New Roman"/>
          <w:color w:val="000000" w:themeColor="text1"/>
          <w:kern w:val="2"/>
          <w:sz w:val="24"/>
          <w:szCs w:val="24"/>
          <w:highlight w:val="none"/>
          <w:lang w:val="en-US" w:eastAsia="zh-CN" w:bidi="ar-SA"/>
          <w14:textFill>
            <w14:solidFill>
              <w14:schemeClr w14:val="tx1"/>
            </w14:solidFill>
          </w14:textFill>
        </w:rPr>
      </w:pPr>
    </w:p>
    <w:p w14:paraId="7979AA5A">
      <w:pPr>
        <w:widowControl w:val="0"/>
        <w:spacing w:line="360" w:lineRule="auto"/>
        <w:ind w:firstLine="480" w:firstLineChars="200"/>
        <w:jc w:val="center"/>
        <w:rPr>
          <w:rFonts w:hint="default" w:ascii="仿宋_GB2312"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eastAsia" w:ascii="仿宋_GB2312" w:hAnsi="Times New Roman" w:eastAsia="宋体" w:cs="Times New Roman"/>
          <w:color w:val="000000" w:themeColor="text1"/>
          <w:kern w:val="2"/>
          <w:sz w:val="24"/>
          <w:szCs w:val="24"/>
          <w:highlight w:val="none"/>
          <w:lang w:val="en-US" w:eastAsia="zh-CN" w:bidi="ar-SA"/>
          <w14:textFill>
            <w14:solidFill>
              <w14:schemeClr w14:val="tx1"/>
            </w14:solidFill>
          </w14:textFill>
        </w:rPr>
        <w:t>表1  标准主要起草人员和任务分工</w:t>
      </w:r>
    </w:p>
    <w:tbl>
      <w:tblPr>
        <w:tblStyle w:val="13"/>
        <w:tblpPr w:leftFromText="180" w:rightFromText="180" w:vertAnchor="text" w:horzAnchor="page" w:tblpX="963" w:tblpY="271"/>
        <w:tblOverlap w:val="never"/>
        <w:tblW w:w="105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1"/>
        <w:gridCol w:w="3470"/>
        <w:gridCol w:w="1320"/>
        <w:gridCol w:w="4790"/>
      </w:tblGrid>
      <w:tr w14:paraId="381DC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951" w:type="dxa"/>
            <w:noWrap w:val="0"/>
            <w:vAlign w:val="center"/>
          </w:tcPr>
          <w:p w14:paraId="0136BEBF">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sz w:val="21"/>
                <w:szCs w:val="21"/>
                <w:highlight w:val="none"/>
                <w14:textFill>
                  <w14:solidFill>
                    <w14:schemeClr w14:val="tx1"/>
                  </w14:solidFill>
                </w14:textFill>
              </w:rPr>
              <w:t>姓名</w:t>
            </w:r>
          </w:p>
        </w:tc>
        <w:tc>
          <w:tcPr>
            <w:tcW w:w="3470" w:type="dxa"/>
            <w:noWrap w:val="0"/>
            <w:vAlign w:val="center"/>
          </w:tcPr>
          <w:p w14:paraId="7F7E0514">
            <w:pPr>
              <w:keepNext w:val="0"/>
              <w:keepLines w:val="0"/>
              <w:suppressLineNumbers w:val="0"/>
              <w:spacing w:before="0" w:beforeAutospacing="0" w:after="0" w:afterAutospacing="0"/>
              <w:ind w:left="0" w:right="0" w:firstLine="420" w:firstLineChars="20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sz w:val="21"/>
                <w:szCs w:val="21"/>
                <w:highlight w:val="none"/>
                <w14:textFill>
                  <w14:solidFill>
                    <w14:schemeClr w14:val="tx1"/>
                  </w14:solidFill>
                </w14:textFill>
              </w:rPr>
              <w:t>工作单位</w:t>
            </w:r>
          </w:p>
        </w:tc>
        <w:tc>
          <w:tcPr>
            <w:tcW w:w="1320" w:type="dxa"/>
            <w:noWrap w:val="0"/>
            <w:vAlign w:val="center"/>
          </w:tcPr>
          <w:p w14:paraId="3D9FD663">
            <w:pPr>
              <w:keepNext w:val="0"/>
              <w:keepLines w:val="0"/>
              <w:suppressLineNumbers w:val="0"/>
              <w:spacing w:before="0" w:beforeAutospacing="0" w:after="0" w:afterAutospacing="0"/>
              <w:ind w:left="0" w:right="0" w:firstLine="420" w:firstLineChars="200"/>
              <w:jc w:val="both"/>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sz w:val="21"/>
                <w:szCs w:val="21"/>
                <w:highlight w:val="none"/>
                <w14:textFill>
                  <w14:solidFill>
                    <w14:schemeClr w14:val="tx1"/>
                  </w14:solidFill>
                </w14:textFill>
              </w:rPr>
              <w:t>职称</w:t>
            </w:r>
          </w:p>
        </w:tc>
        <w:tc>
          <w:tcPr>
            <w:tcW w:w="4790" w:type="dxa"/>
            <w:noWrap w:val="0"/>
            <w:vAlign w:val="center"/>
          </w:tcPr>
          <w:p w14:paraId="6E82E133">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lang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承担任务</w:t>
            </w:r>
          </w:p>
        </w:tc>
      </w:tr>
      <w:tr w14:paraId="47FB4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951" w:type="dxa"/>
            <w:noWrap w:val="0"/>
            <w:vAlign w:val="center"/>
          </w:tcPr>
          <w:p w14:paraId="30D70FDF">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黎玉琼</w:t>
            </w:r>
          </w:p>
        </w:tc>
        <w:tc>
          <w:tcPr>
            <w:tcW w:w="3470" w:type="dxa"/>
            <w:noWrap w:val="0"/>
            <w:vAlign w:val="center"/>
          </w:tcPr>
          <w:p w14:paraId="2C04E75C">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宁夏农林科学院动物科学研究所</w:t>
            </w:r>
          </w:p>
        </w:tc>
        <w:tc>
          <w:tcPr>
            <w:tcW w:w="1320" w:type="dxa"/>
            <w:noWrap w:val="0"/>
            <w:vAlign w:val="center"/>
          </w:tcPr>
          <w:p w14:paraId="287E8852">
            <w:pPr>
              <w:keepNext w:val="0"/>
              <w:keepLines w:val="0"/>
              <w:suppressLineNumbers w:val="0"/>
              <w:spacing w:before="0" w:beforeAutospacing="0" w:after="0" w:afterAutospacing="0"/>
              <w:ind w:left="0" w:right="0" w:firstLine="210" w:firstLineChars="100"/>
              <w:jc w:val="both"/>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研究员</w:t>
            </w:r>
          </w:p>
        </w:tc>
        <w:tc>
          <w:tcPr>
            <w:tcW w:w="4790" w:type="dxa"/>
            <w:noWrap w:val="0"/>
            <w:vAlign w:val="center"/>
          </w:tcPr>
          <w:p w14:paraId="35D42461">
            <w:pPr>
              <w:keepNext w:val="0"/>
              <w:keepLines w:val="0"/>
              <w:suppressLineNumbers w:val="0"/>
              <w:spacing w:before="0" w:beforeAutospacing="0" w:after="0" w:afterAutospacing="0"/>
              <w:ind w:left="0" w:right="0"/>
              <w:jc w:val="center"/>
              <w:rPr>
                <w:rFonts w:hint="default"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14:textFill>
                  <w14:solidFill>
                    <w14:schemeClr w14:val="tx1"/>
                  </w14:solidFill>
                </w14:textFill>
              </w:rPr>
              <w:t>全面负责标准的立项、实施，主持该项目的总体方案设计研究和标准</w:t>
            </w:r>
            <w:r>
              <w:rPr>
                <w:rFonts w:hint="eastAsia" w:ascii="仿宋" w:hAnsi="仿宋" w:eastAsia="仿宋" w:cs="仿宋"/>
                <w:color w:val="000000" w:themeColor="text1"/>
                <w:sz w:val="21"/>
                <w:szCs w:val="21"/>
                <w:highlight w:val="none"/>
                <w:lang w:val="en-US" w:eastAsia="zh-CN"/>
                <w14:textFill>
                  <w14:solidFill>
                    <w14:schemeClr w14:val="tx1"/>
                  </w14:solidFill>
                </w14:textFill>
              </w:rPr>
              <w:t>具体撰写工作</w:t>
            </w:r>
          </w:p>
        </w:tc>
      </w:tr>
      <w:tr w14:paraId="69EBA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1194B2DC">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宋体" w:hAnsi="宋体" w:eastAsia="宋体" w:cs="Times New Roman"/>
                <w:color w:val="000000" w:themeColor="text1"/>
                <w:spacing w:val="9"/>
                <w:kern w:val="2"/>
                <w:sz w:val="20"/>
                <w:szCs w:val="20"/>
                <w:highlight w:val="none"/>
                <w:lang w:val="en-US" w:eastAsia="zh-CN" w:bidi="ar"/>
                <w14:textFill>
                  <w14:solidFill>
                    <w14:schemeClr w14:val="tx1"/>
                  </w14:solidFill>
                </w14:textFill>
              </w:rPr>
              <w:t>高海慧</w:t>
            </w:r>
          </w:p>
        </w:tc>
        <w:tc>
          <w:tcPr>
            <w:tcW w:w="3470" w:type="dxa"/>
            <w:noWrap w:val="0"/>
            <w:vAlign w:val="center"/>
          </w:tcPr>
          <w:p w14:paraId="683E4B7D">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宁夏农林科学院动物科学研究所</w:t>
            </w:r>
          </w:p>
        </w:tc>
        <w:tc>
          <w:tcPr>
            <w:tcW w:w="1320" w:type="dxa"/>
            <w:noWrap w:val="0"/>
            <w:vAlign w:val="center"/>
          </w:tcPr>
          <w:p w14:paraId="4E730B63">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助理研究员</w:t>
            </w:r>
          </w:p>
        </w:tc>
        <w:tc>
          <w:tcPr>
            <w:tcW w:w="4790" w:type="dxa"/>
            <w:noWrap w:val="0"/>
            <w:vAlign w:val="center"/>
          </w:tcPr>
          <w:p w14:paraId="51E8ACF3">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负责该标准技术信息收集工作、资源调查工作</w:t>
            </w:r>
          </w:p>
        </w:tc>
      </w:tr>
      <w:tr w14:paraId="7EA9C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216A31D0">
            <w:pPr>
              <w:keepNext w:val="0"/>
              <w:keepLines w:val="0"/>
              <w:suppressLineNumbers w:val="0"/>
              <w:spacing w:before="0" w:beforeAutospacing="0" w:after="0" w:afterAutospacing="0"/>
              <w:ind w:left="0" w:right="0"/>
              <w:jc w:val="cente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王川</w:t>
            </w:r>
          </w:p>
        </w:tc>
        <w:tc>
          <w:tcPr>
            <w:tcW w:w="3470" w:type="dxa"/>
            <w:noWrap w:val="0"/>
            <w:vAlign w:val="center"/>
          </w:tcPr>
          <w:p w14:paraId="750A7C01">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宁夏农林科学院动物科学研究所</w:t>
            </w:r>
          </w:p>
        </w:tc>
        <w:tc>
          <w:tcPr>
            <w:tcW w:w="1320" w:type="dxa"/>
            <w:noWrap w:val="0"/>
            <w:vAlign w:val="center"/>
          </w:tcPr>
          <w:p w14:paraId="160175C6">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副研究员</w:t>
            </w:r>
          </w:p>
        </w:tc>
        <w:tc>
          <w:tcPr>
            <w:tcW w:w="4790" w:type="dxa"/>
            <w:noWrap w:val="0"/>
            <w:vAlign w:val="center"/>
          </w:tcPr>
          <w:p w14:paraId="72E29FFB">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负责相关技术文件的分析、整理</w:t>
            </w:r>
          </w:p>
        </w:tc>
      </w:tr>
      <w:tr w14:paraId="43C70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54AD73FB">
            <w:pPr>
              <w:keepNext w:val="0"/>
              <w:keepLines w:val="0"/>
              <w:suppressLineNumbers w:val="0"/>
              <w:spacing w:before="0" w:beforeAutospacing="0" w:after="0" w:afterAutospacing="0"/>
              <w:ind w:left="0" w:right="0"/>
              <w:jc w:val="cente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郭亚琼</w:t>
            </w:r>
          </w:p>
        </w:tc>
        <w:tc>
          <w:tcPr>
            <w:tcW w:w="3470" w:type="dxa"/>
            <w:noWrap w:val="0"/>
            <w:vAlign w:val="center"/>
          </w:tcPr>
          <w:p w14:paraId="74AF1183">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 xml:space="preserve">华南农业大学 </w:t>
            </w:r>
          </w:p>
        </w:tc>
        <w:tc>
          <w:tcPr>
            <w:tcW w:w="1320" w:type="dxa"/>
            <w:noWrap w:val="0"/>
            <w:vAlign w:val="center"/>
          </w:tcPr>
          <w:p w14:paraId="166A4432">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副教授</w:t>
            </w:r>
          </w:p>
        </w:tc>
        <w:tc>
          <w:tcPr>
            <w:tcW w:w="4790" w:type="dxa"/>
            <w:noWrap w:val="0"/>
            <w:vAlign w:val="center"/>
          </w:tcPr>
          <w:p w14:paraId="73C7C140">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w:t>
            </w:r>
            <w:r>
              <w:rPr>
                <w:rFonts w:hint="eastAsia" w:ascii="仿宋" w:hAnsi="仿宋" w:eastAsia="仿宋" w:cs="仿宋"/>
                <w:color w:val="000000" w:themeColor="text1"/>
                <w:sz w:val="21"/>
                <w:szCs w:val="21"/>
                <w:highlight w:val="none"/>
                <w14:textFill>
                  <w14:solidFill>
                    <w14:schemeClr w14:val="tx1"/>
                  </w14:solidFill>
                </w14:textFill>
              </w:rPr>
              <w:t>指导</w:t>
            </w:r>
            <w:r>
              <w:rPr>
                <w:rFonts w:hint="eastAsia" w:ascii="仿宋" w:hAnsi="仿宋" w:eastAsia="仿宋" w:cs="仿宋"/>
                <w:color w:val="000000" w:themeColor="text1"/>
                <w:sz w:val="21"/>
                <w:szCs w:val="21"/>
                <w:highlight w:val="none"/>
                <w:lang w:val="en-US" w:eastAsia="zh-CN"/>
                <w14:textFill>
                  <w14:solidFill>
                    <w14:schemeClr w14:val="tx1"/>
                  </w14:solidFill>
                </w14:textFill>
              </w:rPr>
              <w:t>工作组开展试验、验证及数据分析工作</w:t>
            </w:r>
          </w:p>
        </w:tc>
      </w:tr>
      <w:tr w14:paraId="1402A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3CB3FAA5">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马甫行</w:t>
            </w:r>
          </w:p>
        </w:tc>
        <w:tc>
          <w:tcPr>
            <w:tcW w:w="3470" w:type="dxa"/>
            <w:noWrap w:val="0"/>
            <w:vAlign w:val="center"/>
          </w:tcPr>
          <w:p w14:paraId="7BB3D74B">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海南铭亚牧业企业管理咨询有限公司</w:t>
            </w:r>
          </w:p>
        </w:tc>
        <w:tc>
          <w:tcPr>
            <w:tcW w:w="1320" w:type="dxa"/>
            <w:noWrap w:val="0"/>
            <w:vAlign w:val="center"/>
          </w:tcPr>
          <w:p w14:paraId="7C42A087">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副高级畜牧师</w:t>
            </w:r>
          </w:p>
        </w:tc>
        <w:tc>
          <w:tcPr>
            <w:tcW w:w="4790" w:type="dxa"/>
            <w:noWrap w:val="0"/>
            <w:vAlign w:val="center"/>
          </w:tcPr>
          <w:p w14:paraId="34F57771">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标准宣传、示范工作</w:t>
            </w:r>
          </w:p>
        </w:tc>
      </w:tr>
      <w:tr w14:paraId="70B12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7E1E089E">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 xml:space="preserve">牛晓昊 </w:t>
            </w:r>
          </w:p>
        </w:tc>
        <w:tc>
          <w:tcPr>
            <w:tcW w:w="3470" w:type="dxa"/>
            <w:noWrap w:val="0"/>
            <w:vAlign w:val="center"/>
          </w:tcPr>
          <w:p w14:paraId="1F0A5323">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平罗县农业农村局</w:t>
            </w:r>
          </w:p>
        </w:tc>
        <w:tc>
          <w:tcPr>
            <w:tcW w:w="1320" w:type="dxa"/>
            <w:noWrap w:val="0"/>
            <w:vAlign w:val="center"/>
          </w:tcPr>
          <w:p w14:paraId="104561FC">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助理兽医师</w:t>
            </w:r>
          </w:p>
        </w:tc>
        <w:tc>
          <w:tcPr>
            <w:tcW w:w="4790" w:type="dxa"/>
            <w:noWrap w:val="0"/>
            <w:vAlign w:val="center"/>
          </w:tcPr>
          <w:p w14:paraId="41BB2C09">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负责相关技术文件的分析、整理</w:t>
            </w:r>
          </w:p>
        </w:tc>
      </w:tr>
      <w:tr w14:paraId="53FBC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3063ECBC">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时发亿</w:t>
            </w:r>
          </w:p>
        </w:tc>
        <w:tc>
          <w:tcPr>
            <w:tcW w:w="3470" w:type="dxa"/>
            <w:noWrap w:val="0"/>
            <w:vAlign w:val="center"/>
          </w:tcPr>
          <w:p w14:paraId="13A1A70F">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固原市职业技术学校</w:t>
            </w:r>
          </w:p>
        </w:tc>
        <w:tc>
          <w:tcPr>
            <w:tcW w:w="1320" w:type="dxa"/>
            <w:noWrap w:val="0"/>
            <w:vAlign w:val="center"/>
          </w:tcPr>
          <w:p w14:paraId="7B6B1ED6">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讲师</w:t>
            </w:r>
          </w:p>
        </w:tc>
        <w:tc>
          <w:tcPr>
            <w:tcW w:w="4790" w:type="dxa"/>
            <w:noWrap w:val="0"/>
            <w:vAlign w:val="center"/>
          </w:tcPr>
          <w:p w14:paraId="227E8E0B">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负责固原地区标准的验证工作数据处理和分析</w:t>
            </w:r>
          </w:p>
        </w:tc>
      </w:tr>
      <w:tr w14:paraId="78C4C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4E17A618">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马建春</w:t>
            </w:r>
          </w:p>
        </w:tc>
        <w:tc>
          <w:tcPr>
            <w:tcW w:w="3470" w:type="dxa"/>
            <w:noWrap w:val="0"/>
            <w:vAlign w:val="center"/>
          </w:tcPr>
          <w:p w14:paraId="555AD7AF">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t>银川市畜牧技术推广服务中心</w:t>
            </w:r>
          </w:p>
        </w:tc>
        <w:tc>
          <w:tcPr>
            <w:tcW w:w="1320" w:type="dxa"/>
            <w:noWrap w:val="0"/>
            <w:vAlign w:val="center"/>
          </w:tcPr>
          <w:p w14:paraId="34AD3D0F">
            <w:pPr>
              <w:keepNext w:val="0"/>
              <w:keepLines w:val="0"/>
              <w:suppressLineNumbers w:val="0"/>
              <w:kinsoku w:val="0"/>
              <w:autoSpaceDE w:val="0"/>
              <w:autoSpaceDN w:val="0"/>
              <w:spacing w:before="0" w:beforeAutospacing="0" w:after="0" w:afterAutospacing="0"/>
              <w:ind w:left="0" w:right="0"/>
              <w:jc w:val="center"/>
              <w:textAlignment w:val="baseline"/>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高级兽医师</w:t>
            </w:r>
          </w:p>
        </w:tc>
        <w:tc>
          <w:tcPr>
            <w:tcW w:w="4790" w:type="dxa"/>
            <w:noWrap w:val="0"/>
            <w:vAlign w:val="center"/>
          </w:tcPr>
          <w:p w14:paraId="378E8728">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负责银川部分地区标准的验证工作数据处理和分析</w:t>
            </w:r>
          </w:p>
        </w:tc>
      </w:tr>
      <w:tr w14:paraId="21D01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26E3203C">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黄美州</w:t>
            </w:r>
          </w:p>
        </w:tc>
        <w:tc>
          <w:tcPr>
            <w:tcW w:w="3470" w:type="dxa"/>
            <w:noWrap w:val="0"/>
            <w:vAlign w:val="center"/>
          </w:tcPr>
          <w:p w14:paraId="096C9CA7">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西南医科大学附属医院</w:t>
            </w:r>
          </w:p>
        </w:tc>
        <w:tc>
          <w:tcPr>
            <w:tcW w:w="1320" w:type="dxa"/>
            <w:noWrap w:val="0"/>
            <w:vAlign w:val="center"/>
          </w:tcPr>
          <w:p w14:paraId="01AF56AB">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研究员</w:t>
            </w:r>
          </w:p>
        </w:tc>
        <w:tc>
          <w:tcPr>
            <w:tcW w:w="4790" w:type="dxa"/>
            <w:noWrap w:val="0"/>
            <w:vAlign w:val="center"/>
          </w:tcPr>
          <w:p w14:paraId="15AD16F6">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sz w:val="21"/>
                <w:szCs w:val="21"/>
                <w:highlight w:val="none"/>
                <w14:textFill>
                  <w14:solidFill>
                    <w14:schemeClr w14:val="tx1"/>
                  </w14:solidFill>
                </w14:textFill>
              </w:rPr>
              <w:t>负责该技术核心内容确立和标准化，</w:t>
            </w: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负负责相关技术参数的分析</w:t>
            </w:r>
          </w:p>
        </w:tc>
      </w:tr>
      <w:tr w14:paraId="6C5D7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1474D6D5">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柳卫</w:t>
            </w:r>
          </w:p>
        </w:tc>
        <w:tc>
          <w:tcPr>
            <w:tcW w:w="3470" w:type="dxa"/>
            <w:noWrap w:val="0"/>
            <w:vAlign w:val="center"/>
          </w:tcPr>
          <w:p w14:paraId="0D8CA4D6">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t>隆德县城关畜牧兽医工作站</w:t>
            </w:r>
          </w:p>
        </w:tc>
        <w:tc>
          <w:tcPr>
            <w:tcW w:w="1320" w:type="dxa"/>
            <w:noWrap w:val="0"/>
            <w:vAlign w:val="center"/>
          </w:tcPr>
          <w:p w14:paraId="7FEF2DF0">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高级兽医师</w:t>
            </w:r>
          </w:p>
        </w:tc>
        <w:tc>
          <w:tcPr>
            <w:tcW w:w="4790" w:type="dxa"/>
            <w:noWrap w:val="0"/>
            <w:vAlign w:val="center"/>
          </w:tcPr>
          <w:p w14:paraId="1D999D58">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default" w:ascii="仿宋" w:hAnsi="仿宋" w:eastAsia="仿宋" w:cs="仿宋"/>
                <w:color w:val="000000" w:themeColor="text1"/>
                <w:kern w:val="2"/>
                <w:sz w:val="21"/>
                <w:szCs w:val="21"/>
                <w:highlight w:val="none"/>
                <w:lang w:val="en-US" w:eastAsia="en-US" w:bidi="ar-SA"/>
                <w14:textFill>
                  <w14:solidFill>
                    <w14:schemeClr w14:val="tx1"/>
                  </w14:solidFill>
                </w14:textFill>
              </w:rPr>
              <w:t>实验数据整理与分析</w:t>
            </w:r>
          </w:p>
        </w:tc>
      </w:tr>
      <w:tr w14:paraId="75D03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670D82A5">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Times New Roman"/>
                <w:color w:val="000000" w:themeColor="text1"/>
                <w:spacing w:val="9"/>
                <w:kern w:val="2"/>
                <w:sz w:val="20"/>
                <w:szCs w:val="20"/>
                <w:highlight w:val="none"/>
                <w:lang w:val="en-US" w:eastAsia="zh-CN" w:bidi="ar"/>
                <w14:textFill>
                  <w14:solidFill>
                    <w14:schemeClr w14:val="tx1"/>
                  </w14:solidFill>
                </w14:textFill>
              </w:rPr>
              <w:t>张成莲</w:t>
            </w:r>
          </w:p>
        </w:tc>
        <w:tc>
          <w:tcPr>
            <w:tcW w:w="3470" w:type="dxa"/>
            <w:noWrap w:val="0"/>
            <w:vAlign w:val="center"/>
          </w:tcPr>
          <w:p w14:paraId="450D332B">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宁夏回族自治区动物疾病预防控制中心</w:t>
            </w:r>
          </w:p>
        </w:tc>
        <w:tc>
          <w:tcPr>
            <w:tcW w:w="1320" w:type="dxa"/>
            <w:noWrap w:val="0"/>
            <w:vAlign w:val="center"/>
          </w:tcPr>
          <w:p w14:paraId="2157ABC1">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副研究员</w:t>
            </w:r>
          </w:p>
        </w:tc>
        <w:tc>
          <w:tcPr>
            <w:tcW w:w="4790" w:type="dxa"/>
            <w:noWrap w:val="0"/>
            <w:vAlign w:val="center"/>
          </w:tcPr>
          <w:p w14:paraId="7875EADD">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协助标准及相关报告、附件等的审阅和制定，负责相关技术文件的整理</w:t>
            </w:r>
          </w:p>
        </w:tc>
      </w:tr>
      <w:tr w14:paraId="2A09B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1CBD8AAC">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李红兵</w:t>
            </w:r>
          </w:p>
        </w:tc>
        <w:tc>
          <w:tcPr>
            <w:tcW w:w="3470" w:type="dxa"/>
            <w:noWrap w:val="0"/>
            <w:vAlign w:val="center"/>
          </w:tcPr>
          <w:p w14:paraId="48D412DD">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吴忠市利通区农业农村局</w:t>
            </w:r>
          </w:p>
        </w:tc>
        <w:tc>
          <w:tcPr>
            <w:tcW w:w="1320" w:type="dxa"/>
            <w:noWrap w:val="0"/>
            <w:vAlign w:val="center"/>
          </w:tcPr>
          <w:p w14:paraId="77043E59">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高级兽医师</w:t>
            </w:r>
          </w:p>
        </w:tc>
        <w:tc>
          <w:tcPr>
            <w:tcW w:w="4790" w:type="dxa"/>
            <w:noWrap w:val="0"/>
            <w:vAlign w:val="center"/>
          </w:tcPr>
          <w:p w14:paraId="35E8FB6A">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负责该技术在吴忠市利通区的验证工作</w:t>
            </w:r>
          </w:p>
        </w:tc>
      </w:tr>
      <w:tr w14:paraId="2B354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4050D83E">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张学强</w:t>
            </w:r>
          </w:p>
        </w:tc>
        <w:tc>
          <w:tcPr>
            <w:tcW w:w="3470" w:type="dxa"/>
            <w:noWrap w:val="0"/>
            <w:vAlign w:val="center"/>
          </w:tcPr>
          <w:p w14:paraId="3D8719AE">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t>平罗县畜牧水产技术推广服务中心</w:t>
            </w:r>
          </w:p>
        </w:tc>
        <w:tc>
          <w:tcPr>
            <w:tcW w:w="1320" w:type="dxa"/>
            <w:noWrap w:val="0"/>
            <w:vAlign w:val="center"/>
          </w:tcPr>
          <w:p w14:paraId="1B441ADA">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高级兽医师</w:t>
            </w:r>
          </w:p>
        </w:tc>
        <w:tc>
          <w:tcPr>
            <w:tcW w:w="4790" w:type="dxa"/>
            <w:noWrap w:val="0"/>
            <w:vAlign w:val="center"/>
          </w:tcPr>
          <w:p w14:paraId="1B60752E">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负责平罗地区标准的验证工作数据处理和分析</w:t>
            </w:r>
          </w:p>
        </w:tc>
      </w:tr>
      <w:tr w14:paraId="08D8B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35A025A4">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毛磊</w:t>
            </w:r>
          </w:p>
        </w:tc>
        <w:tc>
          <w:tcPr>
            <w:tcW w:w="3470" w:type="dxa"/>
            <w:noWrap w:val="0"/>
            <w:vAlign w:val="center"/>
          </w:tcPr>
          <w:p w14:paraId="5FDC13DE">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宁夏农林科学院动物科学研究所</w:t>
            </w:r>
          </w:p>
        </w:tc>
        <w:tc>
          <w:tcPr>
            <w:tcW w:w="1320" w:type="dxa"/>
            <w:noWrap w:val="0"/>
            <w:vAlign w:val="center"/>
          </w:tcPr>
          <w:p w14:paraId="3FDA7CC7">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副研究员</w:t>
            </w:r>
          </w:p>
        </w:tc>
        <w:tc>
          <w:tcPr>
            <w:tcW w:w="4790" w:type="dxa"/>
            <w:noWrap w:val="0"/>
            <w:vAlign w:val="center"/>
          </w:tcPr>
          <w:p w14:paraId="3EF89A92">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负责</w:t>
            </w:r>
            <w:r>
              <w:rPr>
                <w:rFonts w:hint="eastAsia" w:ascii="仿宋" w:hAnsi="仿宋" w:eastAsia="仿宋" w:cs="仿宋"/>
                <w:color w:val="000000" w:themeColor="text1"/>
                <w:sz w:val="21"/>
                <w:szCs w:val="21"/>
                <w:highlight w:val="none"/>
                <w14:textFill>
                  <w14:solidFill>
                    <w14:schemeClr w14:val="tx1"/>
                  </w14:solidFill>
                </w14:textFill>
              </w:rPr>
              <w:t>相关试验</w:t>
            </w:r>
            <w:r>
              <w:rPr>
                <w:rFonts w:hint="eastAsia" w:ascii="仿宋" w:hAnsi="仿宋" w:eastAsia="仿宋" w:cs="仿宋"/>
                <w:color w:val="000000" w:themeColor="text1"/>
                <w:sz w:val="21"/>
                <w:szCs w:val="21"/>
                <w:highlight w:val="none"/>
                <w:lang w:val="en-US" w:eastAsia="zh-CN"/>
                <w14:textFill>
                  <w14:solidFill>
                    <w14:schemeClr w14:val="tx1"/>
                  </w14:solidFill>
                </w14:textFill>
              </w:rPr>
              <w:t>点选择协调</w:t>
            </w:r>
            <w:r>
              <w:rPr>
                <w:rFonts w:hint="eastAsia" w:ascii="仿宋" w:hAnsi="仿宋" w:eastAsia="仿宋" w:cs="仿宋"/>
                <w:color w:val="000000" w:themeColor="text1"/>
                <w:sz w:val="21"/>
                <w:szCs w:val="21"/>
                <w:highlight w:val="none"/>
                <w14:textFill>
                  <w14:solidFill>
                    <w14:schemeClr w14:val="tx1"/>
                  </w14:solidFill>
                </w14:textFill>
              </w:rPr>
              <w:t>工作</w:t>
            </w:r>
          </w:p>
        </w:tc>
      </w:tr>
      <w:tr w14:paraId="4880B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38BD453B">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马丽娜</w:t>
            </w:r>
          </w:p>
        </w:tc>
        <w:tc>
          <w:tcPr>
            <w:tcW w:w="3470" w:type="dxa"/>
            <w:noWrap w:val="0"/>
            <w:vAlign w:val="center"/>
          </w:tcPr>
          <w:p w14:paraId="34A87E71">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宁夏农林科学院动物科学研究所</w:t>
            </w:r>
          </w:p>
        </w:tc>
        <w:tc>
          <w:tcPr>
            <w:tcW w:w="1320" w:type="dxa"/>
            <w:noWrap w:val="0"/>
            <w:vAlign w:val="center"/>
          </w:tcPr>
          <w:p w14:paraId="179FB4B9">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副研究员</w:t>
            </w:r>
          </w:p>
        </w:tc>
        <w:tc>
          <w:tcPr>
            <w:tcW w:w="4790" w:type="dxa"/>
            <w:noWrap w:val="0"/>
            <w:vAlign w:val="center"/>
          </w:tcPr>
          <w:p w14:paraId="5DDF5E69">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负责相关技术文件的分析、整理</w:t>
            </w:r>
          </w:p>
        </w:tc>
      </w:tr>
      <w:tr w14:paraId="1867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0C1E418C">
            <w:pPr>
              <w:keepNext w:val="0"/>
              <w:keepLines w:val="0"/>
              <w:suppressLineNumbers w:val="0"/>
              <w:spacing w:before="0" w:beforeAutospacing="0" w:after="0" w:afterAutospacing="0"/>
              <w:ind w:left="0" w:right="0"/>
              <w:jc w:val="cente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张久盘</w:t>
            </w:r>
          </w:p>
        </w:tc>
        <w:tc>
          <w:tcPr>
            <w:tcW w:w="3470" w:type="dxa"/>
            <w:noWrap w:val="0"/>
            <w:vAlign w:val="center"/>
          </w:tcPr>
          <w:p w14:paraId="2F66385C">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宁夏农林科学院动物科学研究所</w:t>
            </w:r>
          </w:p>
        </w:tc>
        <w:tc>
          <w:tcPr>
            <w:tcW w:w="1320" w:type="dxa"/>
            <w:noWrap w:val="0"/>
            <w:vAlign w:val="center"/>
          </w:tcPr>
          <w:p w14:paraId="3CCB8198">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助理研究员</w:t>
            </w:r>
          </w:p>
        </w:tc>
        <w:tc>
          <w:tcPr>
            <w:tcW w:w="4790" w:type="dxa"/>
            <w:noWrap w:val="0"/>
            <w:vAlign w:val="center"/>
          </w:tcPr>
          <w:p w14:paraId="50F108F4">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负责相关技术文件的分析、整理</w:t>
            </w:r>
          </w:p>
        </w:tc>
      </w:tr>
      <w:tr w14:paraId="7B71A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057E9B70">
            <w:pPr>
              <w:keepNext w:val="0"/>
              <w:keepLines w:val="0"/>
              <w:suppressLineNumbers w:val="0"/>
              <w:spacing w:before="0" w:beforeAutospacing="0" w:after="0" w:afterAutospacing="0"/>
              <w:ind w:left="0" w:right="0"/>
              <w:jc w:val="cente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高旭红</w:t>
            </w:r>
          </w:p>
        </w:tc>
        <w:tc>
          <w:tcPr>
            <w:tcW w:w="3470" w:type="dxa"/>
            <w:noWrap w:val="0"/>
            <w:vAlign w:val="center"/>
          </w:tcPr>
          <w:p w14:paraId="285FB493">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宁夏农林科学院动物科学研究所</w:t>
            </w:r>
          </w:p>
        </w:tc>
        <w:tc>
          <w:tcPr>
            <w:tcW w:w="1320" w:type="dxa"/>
            <w:noWrap w:val="0"/>
            <w:vAlign w:val="center"/>
          </w:tcPr>
          <w:p w14:paraId="03B8D99F">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助理研究员</w:t>
            </w:r>
          </w:p>
        </w:tc>
        <w:tc>
          <w:tcPr>
            <w:tcW w:w="4790" w:type="dxa"/>
            <w:noWrap w:val="0"/>
            <w:vAlign w:val="center"/>
          </w:tcPr>
          <w:p w14:paraId="7BA2991D">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负责相关技术文件的分析、整理</w:t>
            </w:r>
          </w:p>
        </w:tc>
      </w:tr>
      <w:tr w14:paraId="523CA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29E1718E">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郜军荣</w:t>
            </w:r>
          </w:p>
        </w:tc>
        <w:tc>
          <w:tcPr>
            <w:tcW w:w="3470" w:type="dxa"/>
            <w:noWrap w:val="0"/>
            <w:vAlign w:val="center"/>
          </w:tcPr>
          <w:p w14:paraId="24AE3DCE">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t>原州区畜牧技术推广服务中心</w:t>
            </w:r>
          </w:p>
        </w:tc>
        <w:tc>
          <w:tcPr>
            <w:tcW w:w="1320" w:type="dxa"/>
            <w:noWrap w:val="0"/>
            <w:vAlign w:val="center"/>
          </w:tcPr>
          <w:p w14:paraId="1338F97F">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高级兽医师</w:t>
            </w:r>
          </w:p>
        </w:tc>
        <w:tc>
          <w:tcPr>
            <w:tcW w:w="4790" w:type="dxa"/>
            <w:noWrap w:val="0"/>
            <w:vAlign w:val="center"/>
          </w:tcPr>
          <w:p w14:paraId="5A798F9D">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负责标准的基层普及推广工作</w:t>
            </w:r>
          </w:p>
        </w:tc>
      </w:tr>
      <w:tr w14:paraId="014D8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0A0058A8">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靳光秀</w:t>
            </w:r>
          </w:p>
        </w:tc>
        <w:tc>
          <w:tcPr>
            <w:tcW w:w="3470" w:type="dxa"/>
            <w:noWrap w:val="0"/>
            <w:vAlign w:val="center"/>
          </w:tcPr>
          <w:p w14:paraId="4F0BECEF">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t>盐池县动物疾病预防控制中心</w:t>
            </w:r>
          </w:p>
        </w:tc>
        <w:tc>
          <w:tcPr>
            <w:tcW w:w="1320" w:type="dxa"/>
            <w:noWrap w:val="0"/>
            <w:vAlign w:val="center"/>
          </w:tcPr>
          <w:p w14:paraId="0D1D1347">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高级兽医师</w:t>
            </w:r>
          </w:p>
        </w:tc>
        <w:tc>
          <w:tcPr>
            <w:tcW w:w="4790" w:type="dxa"/>
            <w:noWrap w:val="0"/>
            <w:vAlign w:val="center"/>
          </w:tcPr>
          <w:p w14:paraId="3ABCC3F6">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负责该技术在盐池县辖区牧场的验证工作</w:t>
            </w:r>
          </w:p>
        </w:tc>
      </w:tr>
      <w:tr w14:paraId="3541B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168ED17C">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左兴文</w:t>
            </w:r>
          </w:p>
        </w:tc>
        <w:tc>
          <w:tcPr>
            <w:tcW w:w="3470" w:type="dxa"/>
            <w:noWrap w:val="0"/>
            <w:vAlign w:val="center"/>
          </w:tcPr>
          <w:p w14:paraId="7D8118B1">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同心县动物疾病预防控制中心</w:t>
            </w:r>
          </w:p>
        </w:tc>
        <w:tc>
          <w:tcPr>
            <w:tcW w:w="1320" w:type="dxa"/>
            <w:noWrap w:val="0"/>
            <w:vAlign w:val="center"/>
          </w:tcPr>
          <w:p w14:paraId="286F8A38">
            <w:pPr>
              <w:keepNext w:val="0"/>
              <w:keepLines w:val="0"/>
              <w:suppressLineNumbers w:val="0"/>
              <w:spacing w:before="0" w:beforeAutospacing="0" w:after="0" w:afterAutospacing="0"/>
              <w:ind w:left="0" w:leftChars="0" w:right="0" w:rightChars="0"/>
              <w:jc w:val="cente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高级兽医师</w:t>
            </w:r>
          </w:p>
        </w:tc>
        <w:tc>
          <w:tcPr>
            <w:tcW w:w="4790" w:type="dxa"/>
            <w:noWrap w:val="0"/>
            <w:vAlign w:val="center"/>
          </w:tcPr>
          <w:p w14:paraId="3BA7B274">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负责该技术在同心县的验证工作</w:t>
            </w:r>
          </w:p>
        </w:tc>
      </w:tr>
      <w:tr w14:paraId="14D54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4EF9198B">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张琇</w:t>
            </w:r>
          </w:p>
        </w:tc>
        <w:tc>
          <w:tcPr>
            <w:tcW w:w="3470" w:type="dxa"/>
            <w:noWrap w:val="0"/>
            <w:vAlign w:val="center"/>
          </w:tcPr>
          <w:p w14:paraId="444F42FC">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北方民族大学</w:t>
            </w:r>
          </w:p>
        </w:tc>
        <w:tc>
          <w:tcPr>
            <w:tcW w:w="1320" w:type="dxa"/>
            <w:noWrap w:val="0"/>
            <w:vAlign w:val="center"/>
          </w:tcPr>
          <w:p w14:paraId="225397B1">
            <w:pPr>
              <w:keepNext w:val="0"/>
              <w:keepLines w:val="0"/>
              <w:suppressLineNumbers w:val="0"/>
              <w:spacing w:before="0" w:beforeAutospacing="0" w:after="0" w:afterAutospacing="0"/>
              <w:ind w:left="0" w:leftChars="0" w:right="0" w:rightChars="0"/>
              <w:jc w:val="cente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教授</w:t>
            </w:r>
          </w:p>
        </w:tc>
        <w:tc>
          <w:tcPr>
            <w:tcW w:w="4790" w:type="dxa"/>
            <w:noWrap w:val="0"/>
            <w:vAlign w:val="center"/>
          </w:tcPr>
          <w:p w14:paraId="1C8B3048">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负责</w:t>
            </w:r>
            <w:r>
              <w:rPr>
                <w:rFonts w:hint="eastAsia" w:ascii="仿宋" w:hAnsi="仿宋" w:eastAsia="仿宋" w:cs="仿宋"/>
                <w:color w:val="000000" w:themeColor="text1"/>
                <w:sz w:val="21"/>
                <w:szCs w:val="21"/>
                <w:highlight w:val="none"/>
                <w14:textFill>
                  <w14:solidFill>
                    <w14:schemeClr w14:val="tx1"/>
                  </w14:solidFill>
                </w14:textFill>
              </w:rPr>
              <w:t>相关试验证、数据分析及</w:t>
            </w:r>
            <w:r>
              <w:rPr>
                <w:rFonts w:hint="eastAsia" w:ascii="仿宋" w:hAnsi="仿宋" w:eastAsia="仿宋" w:cs="仿宋"/>
                <w:color w:val="000000" w:themeColor="text1"/>
                <w:sz w:val="21"/>
                <w:szCs w:val="21"/>
                <w:highlight w:val="none"/>
                <w:lang w:val="en-US" w:eastAsia="zh-CN"/>
                <w14:textFill>
                  <w14:solidFill>
                    <w14:schemeClr w14:val="tx1"/>
                  </w14:solidFill>
                </w14:textFill>
              </w:rPr>
              <w:t>技术优化</w:t>
            </w:r>
          </w:p>
        </w:tc>
      </w:tr>
      <w:tr w14:paraId="00B98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51" w:type="dxa"/>
            <w:noWrap w:val="0"/>
            <w:vAlign w:val="center"/>
          </w:tcPr>
          <w:p w14:paraId="498AB51A">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黎彦硕</w:t>
            </w:r>
          </w:p>
        </w:tc>
        <w:tc>
          <w:tcPr>
            <w:tcW w:w="3470" w:type="dxa"/>
            <w:noWrap w:val="0"/>
            <w:vAlign w:val="center"/>
          </w:tcPr>
          <w:p w14:paraId="1C4EA2A5">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default" w:ascii="仿宋" w:hAnsi="仿宋" w:eastAsia="仿宋" w:cs="仿宋"/>
                <w:color w:val="000000" w:themeColor="text1"/>
                <w:sz w:val="21"/>
                <w:szCs w:val="21"/>
                <w:highlight w:val="none"/>
                <w:lang w:val="en-US" w:eastAsia="zh-CN"/>
                <w14:textFill>
                  <w14:solidFill>
                    <w14:schemeClr w14:val="tx1"/>
                  </w14:solidFill>
                </w14:textFill>
              </w:rPr>
              <w:t>甘肃畜牧工程职业技术学院</w:t>
            </w:r>
          </w:p>
        </w:tc>
        <w:tc>
          <w:tcPr>
            <w:tcW w:w="1320" w:type="dxa"/>
            <w:noWrap w:val="0"/>
            <w:vAlign w:val="center"/>
          </w:tcPr>
          <w:p w14:paraId="7396615C">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学生</w:t>
            </w:r>
          </w:p>
        </w:tc>
        <w:tc>
          <w:tcPr>
            <w:tcW w:w="4790" w:type="dxa"/>
            <w:noWrap w:val="0"/>
            <w:vAlign w:val="center"/>
          </w:tcPr>
          <w:p w14:paraId="1742C916">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负责</w:t>
            </w:r>
            <w:r>
              <w:rPr>
                <w:rFonts w:hint="eastAsia" w:ascii="仿宋" w:hAnsi="仿宋" w:eastAsia="仿宋" w:cs="仿宋"/>
                <w:color w:val="000000" w:themeColor="text1"/>
                <w:sz w:val="21"/>
                <w:szCs w:val="21"/>
                <w:highlight w:val="none"/>
                <w14:textFill>
                  <w14:solidFill>
                    <w14:schemeClr w14:val="tx1"/>
                  </w14:solidFill>
                </w14:textFill>
              </w:rPr>
              <w:t>相关试验证、数据分析及</w:t>
            </w:r>
            <w:r>
              <w:rPr>
                <w:rFonts w:hint="eastAsia" w:ascii="仿宋" w:hAnsi="仿宋" w:eastAsia="仿宋" w:cs="仿宋"/>
                <w:color w:val="000000" w:themeColor="text1"/>
                <w:sz w:val="21"/>
                <w:szCs w:val="21"/>
                <w:highlight w:val="none"/>
                <w:lang w:val="en-US" w:eastAsia="zh-CN"/>
                <w14:textFill>
                  <w14:solidFill>
                    <w14:schemeClr w14:val="tx1"/>
                  </w14:solidFill>
                </w14:textFill>
              </w:rPr>
              <w:t>技术优化</w:t>
            </w:r>
          </w:p>
        </w:tc>
      </w:tr>
      <w:tr w14:paraId="002C7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03519D56">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黄亮</w:t>
            </w:r>
          </w:p>
        </w:tc>
        <w:tc>
          <w:tcPr>
            <w:tcW w:w="3470" w:type="dxa"/>
            <w:noWrap w:val="0"/>
            <w:vAlign w:val="center"/>
          </w:tcPr>
          <w:p w14:paraId="6CF52861">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宁夏农垦牛羊肉食品有限公司</w:t>
            </w:r>
          </w:p>
        </w:tc>
        <w:tc>
          <w:tcPr>
            <w:tcW w:w="1320" w:type="dxa"/>
            <w:noWrap w:val="0"/>
            <w:vAlign w:val="center"/>
          </w:tcPr>
          <w:p w14:paraId="670D7DFE">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高级兽医师</w:t>
            </w:r>
          </w:p>
        </w:tc>
        <w:tc>
          <w:tcPr>
            <w:tcW w:w="4790" w:type="dxa"/>
            <w:noWrap w:val="0"/>
            <w:vAlign w:val="center"/>
          </w:tcPr>
          <w:p w14:paraId="7DDED455">
            <w:pPr>
              <w:keepNext w:val="0"/>
              <w:keepLines w:val="0"/>
              <w:suppressLineNumbers w:val="0"/>
              <w:spacing w:before="0" w:beforeAutospacing="0" w:after="0" w:afterAutospacing="0"/>
              <w:ind w:left="0" w:right="0"/>
              <w:jc w:val="center"/>
              <w:rPr>
                <w:rFonts w:hint="default" w:ascii="仿宋" w:hAnsi="仿宋" w:eastAsia="仿宋" w:cs="仿宋"/>
                <w:color w:val="000000" w:themeColor="text1"/>
                <w:kern w:val="2"/>
                <w:sz w:val="21"/>
                <w:szCs w:val="21"/>
                <w:highlight w:val="none"/>
                <w:lang w:val="en-US" w:eastAsia="zh-CN" w:bidi="ar-SA"/>
                <w14:textFill>
                  <w14:solidFill>
                    <w14:schemeClr w14:val="tx1"/>
                  </w14:solidFill>
                </w14:textFill>
              </w:rPr>
            </w:pPr>
            <w:r>
              <w:rPr>
                <w:rFonts w:hint="eastAsia" w:ascii="仿宋" w:hAnsi="仿宋" w:eastAsia="仿宋" w:cs="仿宋"/>
                <w:color w:val="000000" w:themeColor="text1"/>
                <w:sz w:val="21"/>
                <w:szCs w:val="21"/>
                <w:highlight w:val="none"/>
                <w14:textFill>
                  <w14:solidFill>
                    <w14:schemeClr w14:val="tx1"/>
                  </w14:solidFill>
                </w14:textFill>
              </w:rPr>
              <w:t>指导</w:t>
            </w:r>
            <w:r>
              <w:rPr>
                <w:rFonts w:hint="eastAsia" w:ascii="仿宋" w:hAnsi="仿宋" w:eastAsia="仿宋" w:cs="仿宋"/>
                <w:color w:val="000000" w:themeColor="text1"/>
                <w:sz w:val="21"/>
                <w:szCs w:val="21"/>
                <w:highlight w:val="none"/>
                <w:lang w:val="en-US" w:eastAsia="zh-CN"/>
                <w14:textFill>
                  <w14:solidFill>
                    <w14:schemeClr w14:val="tx1"/>
                  </w14:solidFill>
                </w14:textFill>
              </w:rPr>
              <w:t>工作组的起草工作</w:t>
            </w:r>
          </w:p>
        </w:tc>
      </w:tr>
      <w:tr w14:paraId="78831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7724CF17">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文亮</w:t>
            </w:r>
          </w:p>
        </w:tc>
        <w:tc>
          <w:tcPr>
            <w:tcW w:w="3470" w:type="dxa"/>
            <w:noWrap w:val="0"/>
            <w:vAlign w:val="center"/>
          </w:tcPr>
          <w:p w14:paraId="43993A64">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宁夏农垦贺兰山奶业有限公司</w:t>
            </w:r>
          </w:p>
        </w:tc>
        <w:tc>
          <w:tcPr>
            <w:tcW w:w="1320" w:type="dxa"/>
            <w:noWrap w:val="0"/>
            <w:vAlign w:val="center"/>
          </w:tcPr>
          <w:p w14:paraId="5500876F">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 xml:space="preserve">高级兽医师 </w:t>
            </w:r>
          </w:p>
        </w:tc>
        <w:tc>
          <w:tcPr>
            <w:tcW w:w="4790" w:type="dxa"/>
            <w:noWrap w:val="0"/>
            <w:vAlign w:val="center"/>
          </w:tcPr>
          <w:p w14:paraId="68AA516A">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负责</w:t>
            </w:r>
            <w:r>
              <w:rPr>
                <w:rFonts w:hint="eastAsia" w:ascii="仿宋" w:hAnsi="仿宋" w:eastAsia="仿宋" w:cs="仿宋"/>
                <w:color w:val="000000" w:themeColor="text1"/>
                <w:sz w:val="21"/>
                <w:szCs w:val="21"/>
                <w:highlight w:val="none"/>
                <w14:textFill>
                  <w14:solidFill>
                    <w14:schemeClr w14:val="tx1"/>
                  </w14:solidFill>
                </w14:textFill>
              </w:rPr>
              <w:t>相关试验证、数据分析及</w:t>
            </w:r>
            <w:r>
              <w:rPr>
                <w:rFonts w:hint="eastAsia" w:ascii="仿宋" w:hAnsi="仿宋" w:eastAsia="仿宋" w:cs="仿宋"/>
                <w:color w:val="000000" w:themeColor="text1"/>
                <w:sz w:val="21"/>
                <w:szCs w:val="21"/>
                <w:highlight w:val="none"/>
                <w:lang w:val="en-US" w:eastAsia="zh-CN"/>
                <w14:textFill>
                  <w14:solidFill>
                    <w14:schemeClr w14:val="tx1"/>
                  </w14:solidFill>
                </w14:textFill>
              </w:rPr>
              <w:t>技术优化</w:t>
            </w:r>
          </w:p>
        </w:tc>
      </w:tr>
      <w:tr w14:paraId="20C3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255CDE06">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徐军</w:t>
            </w:r>
          </w:p>
        </w:tc>
        <w:tc>
          <w:tcPr>
            <w:tcW w:w="3470" w:type="dxa"/>
            <w:noWrap w:val="0"/>
            <w:vAlign w:val="center"/>
          </w:tcPr>
          <w:p w14:paraId="2696AC08">
            <w:pPr>
              <w:keepNext w:val="0"/>
              <w:keepLines w:val="0"/>
              <w:suppressLineNumbers w:val="0"/>
              <w:spacing w:before="0" w:beforeAutospacing="0" w:after="0" w:afterAutospacing="0"/>
              <w:ind w:left="0" w:leftChars="0" w:right="0" w:rightChars="0"/>
              <w:jc w:val="center"/>
              <w:rPr>
                <w:rFonts w:hint="default" w:ascii="仿宋" w:hAnsi="仿宋" w:eastAsia="仿宋" w:cs="仿宋"/>
                <w:color w:val="000000" w:themeColor="text1"/>
                <w:sz w:val="21"/>
                <w:szCs w:val="21"/>
                <w:highlight w:val="none"/>
                <w:lang w:val="en-US" w:eastAsia="zh-CN"/>
                <w14:textFill>
                  <w14:solidFill>
                    <w14:schemeClr w14:val="tx1"/>
                  </w14:solidFill>
                </w14:textFill>
              </w:rPr>
            </w:pPr>
            <w:r>
              <w:rPr>
                <w:rFonts w:hint="default" w:ascii="仿宋" w:hAnsi="仿宋" w:eastAsia="仿宋" w:cs="仿宋"/>
                <w:color w:val="000000" w:themeColor="text1"/>
                <w:sz w:val="21"/>
                <w:szCs w:val="21"/>
                <w:highlight w:val="none"/>
                <w:lang w:val="en-US" w:eastAsia="zh-CN"/>
                <w14:textFill>
                  <w14:solidFill>
                    <w14:schemeClr w14:val="tx1"/>
                  </w14:solidFill>
                </w14:textFill>
              </w:rPr>
              <w:t>宁夏农林科学院畜牧兽医研究所（有限公司）</w:t>
            </w:r>
          </w:p>
        </w:tc>
        <w:tc>
          <w:tcPr>
            <w:tcW w:w="1320" w:type="dxa"/>
            <w:noWrap w:val="0"/>
            <w:vAlign w:val="center"/>
          </w:tcPr>
          <w:p w14:paraId="22D827E0">
            <w:pPr>
              <w:keepNext w:val="0"/>
              <w:keepLines w:val="0"/>
              <w:suppressLineNumbers w:val="0"/>
              <w:spacing w:before="0" w:beforeAutospacing="0" w:after="0" w:afterAutospacing="0"/>
              <w:ind w:left="0" w:leftChars="0" w:right="0" w:rightChars="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高级兽医师</w:t>
            </w:r>
          </w:p>
        </w:tc>
        <w:tc>
          <w:tcPr>
            <w:tcW w:w="4790" w:type="dxa"/>
            <w:noWrap w:val="0"/>
            <w:vAlign w:val="center"/>
          </w:tcPr>
          <w:p w14:paraId="3711A271">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负责</w:t>
            </w:r>
            <w:r>
              <w:rPr>
                <w:rFonts w:hint="eastAsia" w:ascii="仿宋" w:hAnsi="仿宋" w:eastAsia="仿宋" w:cs="仿宋"/>
                <w:color w:val="000000" w:themeColor="text1"/>
                <w:sz w:val="21"/>
                <w:szCs w:val="21"/>
                <w:highlight w:val="none"/>
                <w14:textFill>
                  <w14:solidFill>
                    <w14:schemeClr w14:val="tx1"/>
                  </w14:solidFill>
                </w14:textFill>
              </w:rPr>
              <w:t>相关试验</w:t>
            </w:r>
            <w:r>
              <w:rPr>
                <w:rFonts w:hint="eastAsia" w:ascii="仿宋" w:hAnsi="仿宋" w:eastAsia="仿宋" w:cs="仿宋"/>
                <w:color w:val="000000" w:themeColor="text1"/>
                <w:sz w:val="21"/>
                <w:szCs w:val="21"/>
                <w:highlight w:val="none"/>
                <w:lang w:val="en-US" w:eastAsia="zh-CN"/>
                <w14:textFill>
                  <w14:solidFill>
                    <w14:schemeClr w14:val="tx1"/>
                  </w14:solidFill>
                </w14:textFill>
              </w:rPr>
              <w:t>点选择协调</w:t>
            </w:r>
            <w:r>
              <w:rPr>
                <w:rFonts w:hint="eastAsia" w:ascii="仿宋" w:hAnsi="仿宋" w:eastAsia="仿宋" w:cs="仿宋"/>
                <w:color w:val="000000" w:themeColor="text1"/>
                <w:sz w:val="21"/>
                <w:szCs w:val="21"/>
                <w:highlight w:val="none"/>
                <w14:textFill>
                  <w14:solidFill>
                    <w14:schemeClr w14:val="tx1"/>
                  </w14:solidFill>
                </w14:textFill>
              </w:rPr>
              <w:t>工作</w:t>
            </w:r>
          </w:p>
        </w:tc>
      </w:tr>
      <w:tr w14:paraId="480B8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2637C320">
            <w:pPr>
              <w:keepNext w:val="0"/>
              <w:keepLines w:val="0"/>
              <w:suppressLineNumbers w:val="0"/>
              <w:spacing w:before="0" w:beforeAutospacing="0" w:after="0" w:afterAutospacing="0"/>
              <w:ind w:left="0" w:leftChars="0" w:right="0" w:rightChars="0"/>
              <w:jc w:val="center"/>
              <w:rPr>
                <w:rFonts w:hint="default"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梁小军</w:t>
            </w:r>
          </w:p>
        </w:tc>
        <w:tc>
          <w:tcPr>
            <w:tcW w:w="3470" w:type="dxa"/>
            <w:noWrap w:val="0"/>
            <w:vAlign w:val="center"/>
          </w:tcPr>
          <w:p w14:paraId="7473EEBB">
            <w:pPr>
              <w:keepNext w:val="0"/>
              <w:keepLines w:val="0"/>
              <w:suppressLineNumbers w:val="0"/>
              <w:spacing w:before="0" w:beforeAutospacing="0" w:after="0" w:afterAutospacing="0"/>
              <w:ind w:left="0" w:leftChars="0" w:right="0" w:rightChars="0"/>
              <w:jc w:val="center"/>
              <w:rPr>
                <w:rFonts w:hint="default"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宁夏农林科学院动物科学研究所</w:t>
            </w:r>
          </w:p>
        </w:tc>
        <w:tc>
          <w:tcPr>
            <w:tcW w:w="1320" w:type="dxa"/>
            <w:noWrap w:val="0"/>
            <w:vAlign w:val="center"/>
          </w:tcPr>
          <w:p w14:paraId="6BC5B28B">
            <w:pPr>
              <w:keepNext w:val="0"/>
              <w:keepLines w:val="0"/>
              <w:suppressLineNumbers w:val="0"/>
              <w:spacing w:before="0" w:beforeAutospacing="0" w:after="0" w:afterAutospacing="0"/>
              <w:ind w:left="0" w:leftChars="0" w:right="0" w:rightChars="0"/>
              <w:jc w:val="center"/>
              <w:rPr>
                <w:rFonts w:hint="default"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研究员</w:t>
            </w:r>
          </w:p>
        </w:tc>
        <w:tc>
          <w:tcPr>
            <w:tcW w:w="4790" w:type="dxa"/>
            <w:noWrap w:val="0"/>
            <w:vAlign w:val="center"/>
          </w:tcPr>
          <w:p w14:paraId="28726823">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负责</w:t>
            </w:r>
            <w:r>
              <w:rPr>
                <w:rFonts w:hint="eastAsia" w:ascii="仿宋" w:hAnsi="仿宋" w:eastAsia="仿宋" w:cs="仿宋"/>
                <w:color w:val="000000" w:themeColor="text1"/>
                <w:sz w:val="21"/>
                <w:szCs w:val="21"/>
                <w:highlight w:val="none"/>
                <w14:textFill>
                  <w14:solidFill>
                    <w14:schemeClr w14:val="tx1"/>
                  </w14:solidFill>
                </w14:textFill>
              </w:rPr>
              <w:t>指导</w:t>
            </w:r>
            <w:r>
              <w:rPr>
                <w:rFonts w:hint="eastAsia" w:ascii="仿宋" w:hAnsi="仿宋" w:eastAsia="仿宋" w:cs="仿宋"/>
                <w:color w:val="000000" w:themeColor="text1"/>
                <w:sz w:val="21"/>
                <w:szCs w:val="21"/>
                <w:highlight w:val="none"/>
                <w:lang w:val="en-US" w:eastAsia="zh-CN"/>
                <w14:textFill>
                  <w14:solidFill>
                    <w14:schemeClr w14:val="tx1"/>
                  </w14:solidFill>
                </w14:textFill>
              </w:rPr>
              <w:t>工作组开展试验</w:t>
            </w:r>
          </w:p>
        </w:tc>
      </w:tr>
      <w:tr w14:paraId="64B29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51" w:type="dxa"/>
            <w:noWrap w:val="0"/>
            <w:vAlign w:val="center"/>
          </w:tcPr>
          <w:p w14:paraId="1B6BAAA2">
            <w:pPr>
              <w:keepNext w:val="0"/>
              <w:keepLines w:val="0"/>
              <w:suppressLineNumbers w:val="0"/>
              <w:spacing w:before="0" w:beforeAutospacing="0" w:after="0" w:afterAutospacing="0"/>
              <w:ind w:left="0" w:leftChars="0" w:right="0" w:rightChars="0"/>
              <w:jc w:val="center"/>
              <w:rPr>
                <w:rFonts w:hint="default"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康晓冬</w:t>
            </w:r>
          </w:p>
        </w:tc>
        <w:tc>
          <w:tcPr>
            <w:tcW w:w="3470" w:type="dxa"/>
            <w:noWrap w:val="0"/>
            <w:vAlign w:val="center"/>
          </w:tcPr>
          <w:p w14:paraId="0F3DA6A6">
            <w:pPr>
              <w:keepNext w:val="0"/>
              <w:keepLines w:val="0"/>
              <w:suppressLineNumbers w:val="0"/>
              <w:spacing w:before="0" w:beforeAutospacing="0" w:after="0" w:afterAutospacing="0"/>
              <w:ind w:left="0" w:leftChars="0" w:right="0" w:rightChars="0"/>
              <w:jc w:val="center"/>
              <w:rPr>
                <w:rFonts w:hint="default"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kern w:val="2"/>
                <w:sz w:val="21"/>
                <w:szCs w:val="21"/>
                <w:highlight w:val="none"/>
                <w:lang w:val="en-US" w:eastAsia="zh-CN" w:bidi="ar-SA"/>
                <w14:textFill>
                  <w14:solidFill>
                    <w14:schemeClr w14:val="tx1"/>
                  </w14:solidFill>
                </w14:textFill>
              </w:rPr>
              <w:t>宁夏农林科学院动物科学研究所</w:t>
            </w:r>
          </w:p>
        </w:tc>
        <w:tc>
          <w:tcPr>
            <w:tcW w:w="1320" w:type="dxa"/>
            <w:noWrap w:val="0"/>
            <w:vAlign w:val="center"/>
          </w:tcPr>
          <w:p w14:paraId="79CD556D">
            <w:pPr>
              <w:keepNext w:val="0"/>
              <w:keepLines w:val="0"/>
              <w:suppressLineNumbers w:val="0"/>
              <w:spacing w:before="0" w:beforeAutospacing="0" w:after="0" w:afterAutospacing="0"/>
              <w:ind w:left="0" w:leftChars="0" w:right="0" w:rightChars="0"/>
              <w:jc w:val="center"/>
              <w:rPr>
                <w:rFonts w:hint="default"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研究员</w:t>
            </w:r>
          </w:p>
        </w:tc>
        <w:tc>
          <w:tcPr>
            <w:tcW w:w="4790" w:type="dxa"/>
            <w:noWrap w:val="0"/>
            <w:vAlign w:val="center"/>
          </w:tcPr>
          <w:p w14:paraId="68ABC209">
            <w:pPr>
              <w:keepNext w:val="0"/>
              <w:keepLines w:val="0"/>
              <w:suppressLineNumbers w:val="0"/>
              <w:spacing w:before="0" w:beforeAutospacing="0" w:after="0" w:afterAutospacing="0"/>
              <w:ind w:left="0" w:right="0"/>
              <w:jc w:val="center"/>
              <w:rPr>
                <w:rFonts w:hint="eastAsia" w:ascii="仿宋" w:hAnsi="仿宋" w:eastAsia="仿宋" w:cs="仿宋"/>
                <w:color w:val="000000" w:themeColor="text1"/>
                <w:sz w:val="21"/>
                <w:szCs w:val="21"/>
                <w:highlight w:val="none"/>
                <w:lang w:val="en-US" w:eastAsia="zh-CN"/>
                <w14:textFill>
                  <w14:solidFill>
                    <w14:schemeClr w14:val="tx1"/>
                  </w14:solidFill>
                </w14:textFill>
              </w:rPr>
            </w:pPr>
            <w:r>
              <w:rPr>
                <w:rFonts w:hint="eastAsia" w:ascii="仿宋" w:hAnsi="仿宋" w:eastAsia="仿宋" w:cs="仿宋"/>
                <w:color w:val="000000" w:themeColor="text1"/>
                <w:sz w:val="21"/>
                <w:szCs w:val="21"/>
                <w:highlight w:val="none"/>
                <w:lang w:val="en-US" w:eastAsia="zh-CN"/>
                <w14:textFill>
                  <w14:solidFill>
                    <w14:schemeClr w14:val="tx1"/>
                  </w14:solidFill>
                </w14:textFill>
              </w:rPr>
              <w:t>负责</w:t>
            </w:r>
            <w:r>
              <w:rPr>
                <w:rFonts w:hint="eastAsia" w:ascii="仿宋" w:hAnsi="仿宋" w:eastAsia="仿宋" w:cs="仿宋"/>
                <w:color w:val="000000" w:themeColor="text1"/>
                <w:sz w:val="21"/>
                <w:szCs w:val="21"/>
                <w:highlight w:val="none"/>
                <w14:textFill>
                  <w14:solidFill>
                    <w14:schemeClr w14:val="tx1"/>
                  </w14:solidFill>
                </w14:textFill>
              </w:rPr>
              <w:t>相关试验</w:t>
            </w:r>
            <w:r>
              <w:rPr>
                <w:rFonts w:hint="eastAsia" w:ascii="仿宋" w:hAnsi="仿宋" w:eastAsia="仿宋" w:cs="仿宋"/>
                <w:color w:val="000000" w:themeColor="text1"/>
                <w:sz w:val="21"/>
                <w:szCs w:val="21"/>
                <w:highlight w:val="none"/>
                <w:lang w:val="en-US" w:eastAsia="zh-CN"/>
                <w14:textFill>
                  <w14:solidFill>
                    <w14:schemeClr w14:val="tx1"/>
                  </w14:solidFill>
                </w14:textFill>
              </w:rPr>
              <w:t>点选择协调</w:t>
            </w:r>
            <w:r>
              <w:rPr>
                <w:rFonts w:hint="eastAsia" w:ascii="仿宋" w:hAnsi="仿宋" w:eastAsia="仿宋" w:cs="仿宋"/>
                <w:color w:val="000000" w:themeColor="text1"/>
                <w:sz w:val="21"/>
                <w:szCs w:val="21"/>
                <w:highlight w:val="none"/>
                <w14:textFill>
                  <w14:solidFill>
                    <w14:schemeClr w14:val="tx1"/>
                  </w14:solidFill>
                </w14:textFill>
              </w:rPr>
              <w:t>工作</w:t>
            </w:r>
          </w:p>
        </w:tc>
      </w:tr>
    </w:tbl>
    <w:p w14:paraId="0568C8E5">
      <w:pPr>
        <w:spacing w:line="360" w:lineRule="auto"/>
        <w:ind w:firstLine="480" w:firstLineChars="200"/>
        <w:rPr>
          <w:rFonts w:ascii="Times New Roman" w:hAnsi="Times New Roman" w:eastAsia="宋体" w:cs="Times New Roman"/>
          <w:color w:val="000000" w:themeColor="text1"/>
          <w:sz w:val="24"/>
          <w:highlight w:val="none"/>
          <w14:textFill>
            <w14:solidFill>
              <w14:schemeClr w14:val="tx1"/>
            </w14:solidFill>
          </w14:textFill>
        </w:rPr>
      </w:pPr>
    </w:p>
    <w:p w14:paraId="5ADB8F05">
      <w:pPr>
        <w:numPr>
          <w:ilvl w:val="0"/>
          <w:numId w:val="0"/>
        </w:numPr>
        <w:spacing w:line="360" w:lineRule="auto"/>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pPr>
      <w:r>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t>二、制定标准的必要性和意义</w:t>
      </w:r>
    </w:p>
    <w:p w14:paraId="407C454F">
      <w:pPr>
        <w:pStyle w:val="18"/>
        <w:numPr>
          <w:ilvl w:val="0"/>
          <w:numId w:val="0"/>
        </w:numPr>
        <w:spacing w:line="360" w:lineRule="auto"/>
        <w:ind w:leftChars="0" w:firstLine="480" w:firstLineChars="200"/>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畜禽“球虫病”相关的“肠道健康”这一广泛话题一直是影响行业健康发展的关键瓶颈据，农业农村部公布的2023年8月全国主要动物疫病情况显示2023年鸡球虫病在三类主要动物疫病中位列报告发病数首位的核心地位，与鸡球虫病的 “基础疫病” 角色一致，牛球虫病在牛场是牛场疫病防控体系中的优先防控病种。随着2020年以来，“减抗行动”（抗寄生虫类抗菌药物禁止在饲料中长期添加）的实施、集约化以及过度依赖抗生素疗法等突出暴露出来的病原微生物耐药性增强、传染病的快速传播等问题，导致腹泻发病率和死亡率居高不下，尤其是牛寄生性原虫，如球虫导致的腹泻呈现上升趋势，其隐性感染和亚临床危害导致的犊牛生长迟缓、死亡率升高、饲料转化率下降和免疫力低下等亚健康问题凸显。</w:t>
      </w:r>
    </w:p>
    <w:p w14:paraId="32B78381">
      <w:pPr>
        <w:pStyle w:val="18"/>
        <w:numPr>
          <w:ilvl w:val="0"/>
          <w:numId w:val="0"/>
        </w:numPr>
        <w:spacing w:line="360" w:lineRule="auto"/>
        <w:ind w:leftChars="0" w:firstLine="480" w:firstLineChars="200"/>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球虫感染有严格的物种特异性，不会跨物种传播，加之因不同物种生理和病理不同，导致其临床症状和发病进展存在很大差异，因此，不同物种球虫病防控标准体系完全独立。我国现行标准如下：国家标准《动物球虫病诊断技术》(GB/T18647-2020)，行业标准《鸡球虫病检疫技术规范》（SN/T 4881-2017）、《兔球虫病检疫技术规范》（SN/T 5193-2020），地方标准《宁夏奶牛球虫病诊断和防制技术规范》（DB/T1723-2020）、《规模化奶山羊场球虫病防治技术规范》（DB15/T 3681-2024）、《肉鸡球虫病防治技术规范》 （DB15/T 3681-2024）（DB51/T 2707-2020）、《鸡球虫病防治技术规范》（DB62/T 2523-2024）。国家标准《动物球虫病诊断技术》未涉及牛特异的诊断指标，例如牛球虫卵囊形态特征、隐性感染与显性感染在OPG值上的界定范围，以及牛球虫病的综合防控技术，我区现行的《宁夏奶牛球虫病诊断和防制技术规范》对推动我区奶牛养殖业发展起到积极作用，已在奶牛球虫病防控方面取得一定成效，而肉牛养殖业对球虫病的认知与防控措施尚处于空白阶段。项目组前期将该标准在奶、肉牛上应用，验证结果表明，其核心技术同样适用于牛球虫病防控。同时，项目组长期致力于抗牛球虫腹泻的新中兽药的研发与减抗替抗防治技术的创新，相关中兽医药新成果在防控牛球虫引起的腹泻（对症）和（对因—体内外湿热因素和球虫病原因素）方面优势明显。综上所述，为满足我区肉牛养殖需求，并充分融合最新防控技术成果，修订《牛球虫病诊断和防制技术规程》，将有力提升全区牛球虫病的综合防控水平，对推动牛养殖产业向标准化、绿色化转型升级具有重要意义。</w:t>
      </w:r>
    </w:p>
    <w:p w14:paraId="7EAB71F4">
      <w:pPr>
        <w:numPr>
          <w:ilvl w:val="0"/>
          <w:numId w:val="0"/>
        </w:numPr>
        <w:spacing w:line="360" w:lineRule="auto"/>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pPr>
      <w:r>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t>三、主要起草过程</w:t>
      </w:r>
    </w:p>
    <w:p w14:paraId="7C03F897">
      <w:pPr>
        <w:pStyle w:val="26"/>
        <w:spacing w:line="360" w:lineRule="auto"/>
        <w:ind w:firstLine="482"/>
        <w:rPr>
          <w:rFonts w:hint="eastAsia" w:ascii="宋体" w:hAnsi="宋体" w:eastAsia="宋体" w:cs="Times New Roman"/>
          <w:b/>
          <w:bCs w:val="0"/>
          <w:color w:val="000000" w:themeColor="text1"/>
          <w:sz w:val="24"/>
          <w:highlight w:val="none"/>
          <w:lang w:val="en-US" w:eastAsia="zh-CN"/>
          <w14:textFill>
            <w14:solidFill>
              <w14:schemeClr w14:val="tx1"/>
            </w14:solidFill>
          </w14:textFill>
        </w:rPr>
      </w:pPr>
      <w:r>
        <w:rPr>
          <w:rFonts w:hint="eastAsia" w:ascii="宋体" w:hAnsi="宋体" w:eastAsia="宋体" w:cs="Times New Roman"/>
          <w:b/>
          <w:bCs w:val="0"/>
          <w:color w:val="000000" w:themeColor="text1"/>
          <w:sz w:val="24"/>
          <w:highlight w:val="none"/>
          <w:lang w:val="en-US" w:eastAsia="zh-CN"/>
          <w14:textFill>
            <w14:solidFill>
              <w14:schemeClr w14:val="tx1"/>
            </w14:solidFill>
          </w14:textFill>
        </w:rPr>
        <w:t>（一）起草阶段：调查研究，收集资料，编制标准草案</w:t>
      </w:r>
    </w:p>
    <w:p w14:paraId="1D2D95AD">
      <w:pPr>
        <w:spacing w:line="360" w:lineRule="auto"/>
        <w:ind w:firstLine="480" w:firstLineChars="200"/>
        <w:jc w:val="left"/>
        <w:rPr>
          <w:rFonts w:hint="eastAsia" w:ascii="Times New Roman" w:hAnsi="Times New Roman" w:eastAsia="宋体" w:cs="Times New Roman"/>
          <w:color w:val="000000" w:themeColor="text1"/>
          <w:sz w:val="24"/>
          <w:highlight w:val="none"/>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2025年4月，标准工作组广</w:t>
      </w:r>
      <w:r>
        <w:rPr>
          <w:rFonts w:hint="eastAsia" w:ascii="Times New Roman" w:hAnsi="Times New Roman" w:eastAsia="宋体" w:cs="Times New Roman"/>
          <w:color w:val="000000" w:themeColor="text1"/>
          <w:sz w:val="24"/>
          <w:highlight w:val="none"/>
          <w14:textFill>
            <w14:solidFill>
              <w14:schemeClr w14:val="tx1"/>
            </w14:solidFill>
          </w14:textFill>
        </w:rPr>
        <w:t>泛查阅了国内外相关资料，这些技术资料主要有四类</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highlight w:val="none"/>
          <w14:textFill>
            <w14:solidFill>
              <w14:schemeClr w14:val="tx1"/>
            </w14:solidFill>
          </w14:textFill>
        </w:rPr>
        <w:t>国际</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文献，包括家畜</w:t>
      </w:r>
      <w:r>
        <w:rPr>
          <w:rFonts w:hint="eastAsia" w:ascii="Times New Roman" w:hAnsi="Times New Roman" w:eastAsia="宋体" w:cs="Times New Roman"/>
          <w:color w:val="000000" w:themeColor="text1"/>
          <w:sz w:val="24"/>
          <w:highlight w:val="none"/>
          <w14:textFill>
            <w14:solidFill>
              <w14:schemeClr w14:val="tx1"/>
            </w14:solidFill>
          </w14:textFill>
        </w:rPr>
        <w:t>球虫病的控制方法和替代解决方案（欧盟、2021年）</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highlight w:val="none"/>
          <w14:textFill>
            <w14:solidFill>
              <w14:schemeClr w14:val="tx1"/>
            </w14:solidFill>
          </w14:textFill>
        </w:rPr>
        <w:t>畜牧业的抗球虫药物综述（2019年）</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牛</w:t>
      </w:r>
      <w:r>
        <w:rPr>
          <w:rFonts w:hint="eastAsia" w:ascii="Times New Roman" w:hAnsi="Times New Roman" w:eastAsia="宋体" w:cs="Times New Roman"/>
          <w:color w:val="000000" w:themeColor="text1"/>
          <w:sz w:val="24"/>
          <w:highlight w:val="none"/>
          <w14:textFill>
            <w14:solidFill>
              <w14:schemeClr w14:val="tx1"/>
            </w14:solidFill>
          </w14:textFill>
        </w:rPr>
        <w:t>球虫病</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代价评估</w:t>
      </w:r>
      <w:r>
        <w:rPr>
          <w:rFonts w:hint="eastAsia" w:ascii="Times New Roman" w:hAnsi="Times New Roman" w:eastAsia="宋体" w:cs="Times New Roman"/>
          <w:color w:val="000000" w:themeColor="text1"/>
          <w:sz w:val="24"/>
          <w:highlight w:val="none"/>
          <w14:textFill>
            <w14:solidFill>
              <w14:schemeClr w14:val="tx1"/>
            </w14:solidFill>
          </w14:textFill>
        </w:rPr>
        <w:t>及其防控策略综述（2024年）</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highlight w:val="none"/>
          <w14:textFill>
            <w14:solidFill>
              <w14:schemeClr w14:val="tx1"/>
            </w14:solidFill>
          </w14:textFill>
        </w:rPr>
        <w:t>澳大利亚农药与兽药管理局（APVMA）官方指南《球虫抑制剂疗效与安全性评价指南》</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等；（2）</w:t>
      </w:r>
      <w:r>
        <w:rPr>
          <w:rFonts w:hint="eastAsia" w:ascii="Times New Roman" w:hAnsi="Times New Roman" w:eastAsia="宋体" w:cs="Times New Roman"/>
          <w:color w:val="000000" w:themeColor="text1"/>
          <w:sz w:val="24"/>
          <w:highlight w:val="none"/>
          <w14:textFill>
            <w14:solidFill>
              <w14:schemeClr w14:val="tx1"/>
            </w14:solidFill>
          </w14:textFill>
        </w:rPr>
        <w:t>国内相</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管诊断疗技术标准</w:t>
      </w:r>
      <w:r>
        <w:rPr>
          <w:rFonts w:hint="eastAsia" w:ascii="Times New Roman" w:hAnsi="Times New Roman" w:eastAsia="宋体" w:cs="Times New Roman"/>
          <w:color w:val="000000" w:themeColor="text1"/>
          <w:sz w:val="24"/>
          <w:highlight w:val="none"/>
          <w14:textFill>
            <w14:solidFill>
              <w14:schemeClr w14:val="tx1"/>
            </w14:solidFill>
          </w14:textFill>
        </w:rPr>
        <w:t>规范、法律、法规等，包括《动物球虫病诊断技术》(GB/T18647-2020)</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、我国四川省、甘肃省、内蒙古自治区制定</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的</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鸡、奶山羊球虫病的防治技术规范</w:t>
      </w:r>
      <w:r>
        <w:rPr>
          <w:rFonts w:hint="eastAsia" w:ascii="Times New Roman" w:hAnsi="Times New Roman" w:eastAsia="宋体" w:cs="Times New Roman"/>
          <w:color w:val="000000" w:themeColor="text1"/>
          <w:sz w:val="24"/>
          <w:highlight w:val="none"/>
          <w14:textFill>
            <w14:solidFill>
              <w14:schemeClr w14:val="tx1"/>
            </w14:solidFill>
          </w14:textFill>
        </w:rPr>
        <w:t>等</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3</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highlight w:val="none"/>
          <w14:textFill>
            <w14:solidFill>
              <w14:schemeClr w14:val="tx1"/>
            </w14:solidFill>
          </w14:textFill>
        </w:rPr>
        <w:t>标准撰写技术资料，包括GB/T 1.1-2020《标准化工作导则第1部分：标准化文件的结构和起草规则》的要求等。并结合本</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团队</w:t>
      </w:r>
      <w:r>
        <w:rPr>
          <w:rFonts w:hint="eastAsia" w:ascii="Times New Roman" w:hAnsi="Times New Roman" w:eastAsia="宋体" w:cs="Times New Roman"/>
          <w:color w:val="000000" w:themeColor="text1"/>
          <w:sz w:val="24"/>
          <w:highlight w:val="none"/>
          <w14:textFill>
            <w14:solidFill>
              <w14:schemeClr w14:val="tx1"/>
            </w14:solidFill>
          </w14:textFill>
        </w:rPr>
        <w:t>数十年在</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牛球虫</w:t>
      </w:r>
      <w:r>
        <w:rPr>
          <w:rFonts w:hint="eastAsia" w:ascii="Times New Roman" w:hAnsi="Times New Roman" w:eastAsia="宋体" w:cs="Times New Roman"/>
          <w:color w:val="000000" w:themeColor="text1"/>
          <w:sz w:val="24"/>
          <w:highlight w:val="none"/>
          <w14:textFill>
            <w14:solidFill>
              <w14:schemeClr w14:val="tx1"/>
            </w14:solidFill>
          </w14:textFill>
        </w:rPr>
        <w:t>病</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科研与临床实践</w:t>
      </w:r>
      <w:r>
        <w:rPr>
          <w:rFonts w:hint="eastAsia" w:ascii="Times New Roman" w:hAnsi="Times New Roman" w:eastAsia="宋体" w:cs="Times New Roman"/>
          <w:color w:val="000000" w:themeColor="text1"/>
          <w:sz w:val="24"/>
          <w:highlight w:val="none"/>
          <w14:textFill>
            <w14:solidFill>
              <w14:schemeClr w14:val="tx1"/>
            </w14:solidFill>
          </w14:textFill>
        </w:rPr>
        <w:t>方面的经验，在此基础上，</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明确了</w:t>
      </w:r>
      <w:r>
        <w:rPr>
          <w:rFonts w:hint="eastAsia" w:ascii="Times New Roman" w:hAnsi="Times New Roman" w:eastAsia="宋体" w:cs="Times New Roman"/>
          <w:color w:val="000000" w:themeColor="text1"/>
          <w:sz w:val="24"/>
          <w:highlight w:val="none"/>
          <w14:textFill>
            <w14:solidFill>
              <w14:schemeClr w14:val="tx1"/>
            </w14:solidFill>
          </w14:textFill>
        </w:rPr>
        <w:t>本标准需要完善、优化的技术要点和</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修订条目，</w:t>
      </w:r>
      <w:r>
        <w:rPr>
          <w:rFonts w:hint="eastAsia" w:ascii="Times New Roman" w:hAnsi="Times New Roman" w:eastAsia="宋体" w:cs="Times New Roman"/>
          <w:color w:val="000000" w:themeColor="text1"/>
          <w:sz w:val="24"/>
          <w:highlight w:val="none"/>
          <w14:textFill>
            <w14:solidFill>
              <w14:schemeClr w14:val="tx1"/>
            </w14:solidFill>
          </w14:textFill>
        </w:rPr>
        <w:t>编制标准草案。</w:t>
      </w:r>
    </w:p>
    <w:p w14:paraId="4908F0C7">
      <w:pPr>
        <w:pStyle w:val="26"/>
        <w:spacing w:line="360" w:lineRule="auto"/>
        <w:ind w:firstLine="482"/>
        <w:rPr>
          <w:rFonts w:hint="eastAsia" w:ascii="Times New Roman" w:hAnsi="Times New Roman" w:eastAsia="宋体" w:cs="Times New Roman"/>
          <w:b/>
          <w:bCs/>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4"/>
          <w:highlight w:val="none"/>
          <w:lang w:val="en-US" w:eastAsia="zh-CN"/>
          <w14:textFill>
            <w14:solidFill>
              <w14:schemeClr w14:val="tx1"/>
            </w14:solidFill>
          </w14:textFill>
        </w:rPr>
        <w:t>（二）征求意见阶段：召开标准制定工作研讨会，修改形成征求意见稿并征求意见</w:t>
      </w:r>
    </w:p>
    <w:p w14:paraId="5DFF6E30">
      <w:p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2025年10月至11月，基于本团队的前期研究工作，对资料进行了整理、归纳和汇编，同时进一步广泛查阅国内外资料，并汇总国内文献和大型牧场养殖数据。根据国内最新研究结果，对原标准进行了修订，初步形成了标准文本和编制说明草稿。</w:t>
      </w:r>
    </w:p>
    <w:p w14:paraId="71566E7F">
      <w:p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2025年12月，标准工作组召开了标准线上讨论会议，对标准草案的整体形式和主要技术指标进行讨论和分析。标准工作组根据与会专家提出的意见和建议，对标准草案进行了修改，形成了《牛球虫病诊断和防制技术规程》标准文本及编制说明征求意见稿。</w:t>
      </w:r>
    </w:p>
    <w:p w14:paraId="5C328628">
      <w:p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2026年1月，标准起草组将起草完成的《牛球虫病诊断和防制技术规程》行业标准草案和编制说明征求意见稿发送给华南农业大学、西北农林科技大学、河南农业大学、君乐宝乳业集团股份有限公司等相关的高校和企业等单位的专家征求意见。</w:t>
      </w:r>
    </w:p>
    <w:p w14:paraId="49A5B4C5">
      <w:pPr>
        <w:spacing w:line="360" w:lineRule="auto"/>
        <w:ind w:firstLine="480"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本次发函征求意见共发函单位5个，回函单位5个，提出意见单位5个，经整理合并，共提出意见51条，采纳42条，不采纳5条，部分采纳3条。</w:t>
      </w:r>
    </w:p>
    <w:p w14:paraId="55BA8C2A">
      <w:pPr>
        <w:numPr>
          <w:ilvl w:val="0"/>
          <w:numId w:val="0"/>
        </w:numPr>
        <w:spacing w:line="360" w:lineRule="auto"/>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pPr>
      <w:r>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t>四、标准编制原则和确定标准主要内容的依据，与现行的法律、法规及标准的关系</w:t>
      </w:r>
    </w:p>
    <w:p w14:paraId="36CABF9D">
      <w:pPr>
        <w:pStyle w:val="18"/>
        <w:spacing w:line="360" w:lineRule="auto"/>
        <w:ind w:firstLine="482"/>
        <w:rPr>
          <w:rFonts w:ascii="Times New Roman" w:hAnsi="Times New Roman" w:eastAsia="宋体" w:cs="Times New Roman"/>
          <w:b/>
          <w:color w:val="000000" w:themeColor="text1"/>
          <w:sz w:val="24"/>
          <w:highlight w:val="none"/>
          <w14:textFill>
            <w14:solidFill>
              <w14:schemeClr w14:val="tx1"/>
            </w14:solidFill>
          </w14:textFill>
        </w:rPr>
      </w:pPr>
      <w:r>
        <w:rPr>
          <w:rFonts w:ascii="Times New Roman" w:hAnsi="Times New Roman" w:eastAsia="宋体" w:cs="Times New Roman"/>
          <w:b/>
          <w:color w:val="000000" w:themeColor="text1"/>
          <w:sz w:val="24"/>
          <w:highlight w:val="none"/>
          <w14:textFill>
            <w14:solidFill>
              <w14:schemeClr w14:val="tx1"/>
            </w14:solidFill>
          </w14:textFill>
        </w:rPr>
        <w:t>（一）标准的编写原则</w:t>
      </w:r>
    </w:p>
    <w:p w14:paraId="26D58965">
      <w:pPr>
        <w:spacing w:line="360" w:lineRule="auto"/>
        <w:ind w:firstLine="480" w:firstLineChars="200"/>
        <w:rPr>
          <w:rFonts w:ascii="Times New Roman" w:hAnsi="Times New Roman" w:eastAsia="宋体" w:cs="Times New Roman"/>
          <w:color w:val="000000" w:themeColor="text1"/>
          <w:sz w:val="24"/>
          <w:highlight w:val="none"/>
          <w14:textFill>
            <w14:solidFill>
              <w14:schemeClr w14:val="tx1"/>
            </w14:solidFill>
          </w14:textFill>
        </w:rPr>
      </w:pPr>
      <w:r>
        <w:rPr>
          <w:rFonts w:ascii="Times New Roman" w:hAnsi="Times New Roman" w:eastAsia="宋体" w:cs="Times New Roman"/>
          <w:color w:val="000000" w:themeColor="text1"/>
          <w:sz w:val="24"/>
          <w:highlight w:val="none"/>
          <w14:textFill>
            <w14:solidFill>
              <w14:schemeClr w14:val="tx1"/>
            </w14:solidFill>
          </w14:textFill>
        </w:rPr>
        <w:t>1、</w:t>
      </w:r>
      <w:r>
        <w:rPr>
          <w:rFonts w:hint="eastAsia" w:ascii="Times New Roman" w:hAnsi="Times New Roman" w:eastAsia="宋体" w:cs="Times New Roman"/>
          <w:color w:val="000000" w:themeColor="text1"/>
          <w:sz w:val="24"/>
          <w:highlight w:val="none"/>
          <w14:textFill>
            <w14:solidFill>
              <w14:schemeClr w14:val="tx1"/>
            </w14:solidFill>
          </w14:textFill>
        </w:rPr>
        <w:t>本标准在制定过程中认真贯彻相关管理办法，本着合理、科学原则进行编写制定工作。</w:t>
      </w:r>
      <w:r>
        <w:rPr>
          <w:rFonts w:ascii="Times New Roman" w:hAnsi="Times New Roman" w:eastAsia="宋体" w:cs="Times New Roman"/>
          <w:color w:val="000000" w:themeColor="text1"/>
          <w:sz w:val="24"/>
          <w:highlight w:val="none"/>
          <w14:textFill>
            <w14:solidFill>
              <w14:schemeClr w14:val="tx1"/>
            </w14:solidFill>
          </w14:textFill>
        </w:rPr>
        <w:t>标准</w:t>
      </w:r>
      <w:r>
        <w:rPr>
          <w:rFonts w:hint="eastAsia" w:ascii="Times New Roman" w:hAnsi="Times New Roman" w:eastAsia="宋体" w:cs="Times New Roman"/>
          <w:color w:val="000000" w:themeColor="text1"/>
          <w:sz w:val="24"/>
          <w:highlight w:val="none"/>
          <w14:textFill>
            <w14:solidFill>
              <w14:schemeClr w14:val="tx1"/>
            </w14:solidFill>
          </w14:textFill>
        </w:rPr>
        <w:t>制定</w:t>
      </w:r>
      <w:r>
        <w:rPr>
          <w:rFonts w:ascii="Times New Roman" w:hAnsi="Times New Roman" w:eastAsia="宋体" w:cs="Times New Roman"/>
          <w:color w:val="000000" w:themeColor="text1"/>
          <w:sz w:val="24"/>
          <w:highlight w:val="none"/>
          <w14:textFill>
            <w14:solidFill>
              <w14:schemeClr w14:val="tx1"/>
            </w14:solidFill>
          </w14:textFill>
        </w:rPr>
        <w:t>遵循“先进性、实用性、统一性、规范性”的原则，注重标准的通用性、适用性和可操作性，同时符合我国国情。</w:t>
      </w:r>
    </w:p>
    <w:p w14:paraId="1FA35467">
      <w:pPr>
        <w:spacing w:line="360" w:lineRule="auto"/>
        <w:ind w:firstLine="480" w:firstLineChars="200"/>
        <w:contextualSpacing/>
        <w:rPr>
          <w:rFonts w:ascii="Times New Roman" w:hAnsi="Times New Roman" w:eastAsia="宋体" w:cs="Times New Roman"/>
          <w:color w:val="000000" w:themeColor="text1"/>
          <w:sz w:val="24"/>
          <w:highlight w:val="none"/>
          <w14:textFill>
            <w14:solidFill>
              <w14:schemeClr w14:val="tx1"/>
            </w14:solidFill>
          </w14:textFill>
        </w:rPr>
      </w:pPr>
      <w:r>
        <w:rPr>
          <w:rFonts w:ascii="Times New Roman" w:hAnsi="Times New Roman" w:eastAsia="宋体" w:cs="Times New Roman"/>
          <w:color w:val="000000" w:themeColor="text1"/>
          <w:sz w:val="24"/>
          <w:highlight w:val="none"/>
          <w14:textFill>
            <w14:solidFill>
              <w14:schemeClr w14:val="tx1"/>
            </w14:solidFill>
          </w14:textFill>
        </w:rPr>
        <w:t>2、</w:t>
      </w:r>
      <w:r>
        <w:rPr>
          <w:rFonts w:hint="eastAsia" w:ascii="Times New Roman" w:hAnsi="Times New Roman" w:eastAsia="宋体" w:cs="Times New Roman"/>
          <w:color w:val="000000" w:themeColor="text1"/>
          <w:sz w:val="24"/>
          <w:highlight w:val="none"/>
          <w14:textFill>
            <w14:solidFill>
              <w14:schemeClr w14:val="tx1"/>
            </w14:solidFill>
          </w14:textFill>
        </w:rPr>
        <w:t>依据GB/T 1.1-2020《标准化工作导则第1部分：标准化文件的结构和起草规则》的</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要求</w:t>
      </w:r>
      <w:r>
        <w:rPr>
          <w:rFonts w:hint="eastAsia" w:ascii="Times New Roman" w:hAnsi="Times New Roman" w:eastAsia="宋体" w:cs="Times New Roman"/>
          <w:color w:val="000000" w:themeColor="text1"/>
          <w:sz w:val="24"/>
          <w:highlight w:val="none"/>
          <w14:textFill>
            <w14:solidFill>
              <w14:schemeClr w14:val="tx1"/>
            </w14:solidFill>
          </w14:textFill>
        </w:rPr>
        <w:t>进行编写；</w:t>
      </w:r>
    </w:p>
    <w:p w14:paraId="5E4907D0">
      <w:pPr>
        <w:pStyle w:val="18"/>
        <w:spacing w:line="360" w:lineRule="auto"/>
        <w:ind w:firstLine="482"/>
        <w:rPr>
          <w:rFonts w:ascii="Times New Roman" w:hAnsi="Times New Roman" w:eastAsia="宋体" w:cs="Times New Roman"/>
          <w:b/>
          <w:color w:val="000000" w:themeColor="text1"/>
          <w:sz w:val="24"/>
          <w:highlight w:val="none"/>
          <w14:textFill>
            <w14:solidFill>
              <w14:schemeClr w14:val="tx1"/>
            </w14:solidFill>
          </w14:textFill>
        </w:rPr>
      </w:pPr>
      <w:r>
        <w:rPr>
          <w:rFonts w:ascii="Times New Roman" w:hAnsi="Times New Roman" w:eastAsia="宋体" w:cs="Times New Roman"/>
          <w:b/>
          <w:color w:val="000000" w:themeColor="text1"/>
          <w:sz w:val="24"/>
          <w:highlight w:val="none"/>
          <w14:textFill>
            <w14:solidFill>
              <w14:schemeClr w14:val="tx1"/>
            </w14:solidFill>
          </w14:textFill>
        </w:rPr>
        <w:t>（二）</w:t>
      </w:r>
      <w:r>
        <w:rPr>
          <w:rFonts w:hint="eastAsia" w:ascii="Times New Roman" w:hAnsi="Times New Roman" w:eastAsia="宋体" w:cs="Times New Roman"/>
          <w:b/>
          <w:color w:val="000000" w:themeColor="text1"/>
          <w:sz w:val="24"/>
          <w:highlight w:val="none"/>
          <w14:textFill>
            <w14:solidFill>
              <w14:schemeClr w14:val="tx1"/>
            </w14:solidFill>
          </w14:textFill>
        </w:rPr>
        <w:t>确定标准主要内容的依据</w:t>
      </w:r>
    </w:p>
    <w:p w14:paraId="314C295C">
      <w:p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自2020-2025年期间，团队依托宁自治区重点研发计划项目“宁夏地区肉牛肠道主要致病寄生虫诊断技术研发”和课题“犊牛腹泻治中兽药新药研发与应用”、自治区重点成果转化项目“奶、肉牛中兽医保健转化示范”的实施，分别在我区奶、肉牛优势主产区围绕牛球虫性腹泻的研究开展了一系列科研、临床诊疗研究工作。</w:t>
      </w:r>
    </w:p>
    <w:p w14:paraId="13C7D17D">
      <w:pPr>
        <w:spacing w:line="360" w:lineRule="auto"/>
        <w:ind w:firstLine="482"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4"/>
          <w:highlight w:val="none"/>
          <w:lang w:val="en-US" w:eastAsia="zh-CN"/>
          <w14:textFill>
            <w14:solidFill>
              <w14:schemeClr w14:val="tx1"/>
            </w14:solidFill>
          </w14:textFill>
        </w:rPr>
        <w:t>奶肉牛球虫流行病学调查研究</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1）宁夏部分地区奶牛犊牛腹泻病原调查分析；（2）宁夏四地区奶牛球虫病流行病学调查及虫种鉴定；（3）2014—2022年宁夏不同地区奶、牛艾美耳球虫病流行病学调查；（4）2022—2025年宁夏不同地区奶、牛艾美耳球虫病流行病学调查。以上研究结果为球虫病易感期、隐性感染、显性感染的保健时机及保健频次等临床决策提供了理论依据。</w:t>
      </w:r>
    </w:p>
    <w:p w14:paraId="226A215B">
      <w:pPr>
        <w:spacing w:line="360" w:lineRule="auto"/>
        <w:ind w:firstLine="482" w:firstLineChars="200"/>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4"/>
          <w:highlight w:val="none"/>
          <w:lang w:val="en-US" w:eastAsia="zh-CN"/>
          <w14:textFill>
            <w14:solidFill>
              <w14:schemeClr w14:val="tx1"/>
            </w14:solidFill>
          </w14:textFill>
        </w:rPr>
        <w:t>牛球虫病的现代医学“辨病”与中兽医“辩证”诊疗技术方面：</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1）研究建立的牛源艾美尔球虫PCR诊断方法灵敏度高，该PCR方法的检出率（64.6％，309/478）明显高于显微镜镜检（17.2％，84/478），证实仅靠金标准病原诊断方法会导致误诊；（2）采用自主研发的PCR和传统显微镜镜检病原诊断技术、及环境、饲养模式和防控举措等循证调查研究，完成了宁夏地区不同规模的奶、肉牛场球虫的纵、横向流行病学研究，研究解析了集约化养殖奶牛中艾美耳球虫多个虫种动态感染模式，及艾美耳球虫在我区不同养殖规模的奶牛和肉牛中的分布特征和风险因素，明确了邱氏艾美尔球虫、牛、亚球等高致病性虫种；（3）球虫病病隐蔽性、自限性发生发展和排虫卵规律及病原诊断的关联研究，系统梳理了自2014年-2025年以来的共200多个牧场、500多场次的上万份粪便样本的纵横向病原诊断结果，分析了球虫病不同发展阶段的感染率、卵囊排泄规律和临床指标，明确了牛球虫病病原诊断和临床诊断参数，为制定标准的预警、诊断、保健、治疗和疗效监测等依据确立提供数据支撑；（4）系统开展犊牛球虫病和异食癖行为的中兽医病因病机及辩证施治技术研究,研究揭示了“湿热生虫”（外感气候环境湿热+内生脾胃湿热+虫积不内不外因）之中医病因，“湿盛-脾虚-生虫”的基本病机；揭示其先“实证”，后“虚证”的病理发展特点，明确了大肠湿热和脾虚胃热2种基本证型；发现了异食癖行为和球虫病互作关系，犊牛脾胃虚弱、乳食积滞、虫积内生为主，即脾胃虚弱为根本、乳食积滞为诱因虫积内生为常见兼证，形成 “积滞→脾虚→异食” 的恶性循环。该研究为建立牛球虫病绿色可持续防治技术奠定了坚实基础。</w:t>
      </w:r>
    </w:p>
    <w:p w14:paraId="6A228349">
      <w:pPr>
        <w:spacing w:line="360" w:lineRule="auto"/>
        <w:ind w:firstLine="482"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4"/>
          <w:highlight w:val="none"/>
          <w:lang w:val="en-US" w:eastAsia="zh-CN"/>
          <w14:textFill>
            <w14:solidFill>
              <w14:schemeClr w14:val="tx1"/>
            </w14:solidFill>
          </w14:textFill>
        </w:rPr>
        <w:t>不同药物治疗牛球虫病的疗效评价方面：</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1）癸氧喹酯和托曲珠利治疗性预防犊牛球虫病的动态效果评价；（2）两种药物对牛球虫病的疗效及繁殖性能的影响；（3）癸氧喹酯和托曲珠利治疗性预防犊牛球虫病的动态效果评价。上述研究均为标准的修订提供了大量科学依据以及技术支撑。</w:t>
      </w:r>
    </w:p>
    <w:p w14:paraId="5750CEA3">
      <w:pPr>
        <w:spacing w:line="360" w:lineRule="auto"/>
        <w:ind w:firstLine="482" w:firstLineChars="200"/>
        <w:rPr>
          <w:rFonts w:hint="eastAsia" w:ascii="Times New Roman" w:hAnsi="Times New Roman" w:eastAsia="宋体" w:cs="Times New Roman"/>
          <w:b/>
          <w:bCs/>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4"/>
          <w:highlight w:val="none"/>
          <w:lang w:val="en-US" w:eastAsia="zh-CN"/>
          <w14:textFill>
            <w14:solidFill>
              <w14:schemeClr w14:val="tx1"/>
            </w14:solidFill>
          </w14:textFill>
        </w:rPr>
        <w:t>本标准核心技术依据确立：</w:t>
      </w:r>
    </w:p>
    <w:p w14:paraId="04AA3DB5">
      <w:p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诊断依据：</w:t>
      </w:r>
    </w:p>
    <w:p w14:paraId="49A0594F">
      <w:pPr>
        <w:numPr>
          <w:ilvl w:val="0"/>
          <w:numId w:val="1"/>
        </w:num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球虫病隐蔽性和自限性阶段诊断难度高，隐蔽性阶段排虫卵量少且间断，易造成病原漏检；自限性进程中诊断窗口期短，排虫卵呈“先升后降” 趋势，排卵量升高的时间段有限，需多次采样检测；自限性终点后停止排卵，病原学诊断阴性，需结合病史和临床症状回顾性诊断。而OPG是寄生虫病流行病学调查的常用量化指标，虫卵排出与感染状态不同步，存在“假阴性/假阳性”牛自限性寄生虫的生活史存在组织内发育阶段，如球虫的裂殖生殖期此阶段虫体不排卵或典型血水样腹泻，OPG 值为 0，但动物已出现临床症状（腹泻、消瘦）；反之，隐性感染犊牛或成年牛多为带虫者，OPG 值持续阳性，但无任何临床症状，无法区分“感染”与“带虫”状态。因此，OPG用于牛自限性寄生虫病的确诊及感染程度判定，尤其是自然感染群体时，存在显著的科学性缺陷。球虫病确证需将病原诊断结合病史和临床症状回顾性诊断。</w:t>
      </w:r>
    </w:p>
    <w:p w14:paraId="5F2E9AE5">
      <w:pPr>
        <w:numPr>
          <w:ilvl w:val="0"/>
          <w:numId w:val="1"/>
        </w:num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综合防制依据：针对球虫病多因素、隐蔽性和自限性发生发展特点，中西医防制原则：从改善内外环境入手，而非仅针对虫体本身，以“祛湿、祛风、健脾、杀虫”健脾祛湿、扶正驱邪”为核心，既针对病因，又调理受损脏腑。以加强饲养管理和中兽医药保健为主，治疗以中兽医药方案为主，急性期配伍托曲珠利，以降低卵囊排泄，缓解环境感染压力。中兽医药方案选择应根据疾病证型，以具有清热利湿，杀虫止泻或健脾益气，佐以驱虫的方药灵活组合。</w:t>
      </w:r>
    </w:p>
    <w:p w14:paraId="69B7ACD8">
      <w:pPr>
        <w:spacing w:line="360" w:lineRule="auto"/>
        <w:ind w:firstLine="480" w:firstLineChars="200"/>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综上，本标准内容主要围绕亚临床和临床球虫病临床诊断参数、病原诊断参数、保健范围和时机、中兽医药保健方案和疗效判定等核心模块的确定、优化与适配。</w:t>
      </w:r>
    </w:p>
    <w:p w14:paraId="519E66A0">
      <w:pPr>
        <w:pStyle w:val="18"/>
        <w:numPr>
          <w:ilvl w:val="0"/>
          <w:numId w:val="0"/>
        </w:numPr>
        <w:spacing w:line="360" w:lineRule="auto"/>
        <w:ind w:firstLine="482" w:firstLineChars="200"/>
        <w:rPr>
          <w:rFonts w:hint="eastAsia" w:ascii="Times New Roman" w:hAnsi="Times New Roman" w:eastAsia="宋体" w:cs="Times New Roman"/>
          <w:b/>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t>（三）</w:t>
      </w:r>
      <w:r>
        <w:rPr>
          <w:rFonts w:hint="eastAsia" w:ascii="Times New Roman" w:hAnsi="Times New Roman" w:eastAsia="宋体" w:cs="Times New Roman"/>
          <w:b/>
          <w:color w:val="000000" w:themeColor="text1"/>
          <w:sz w:val="24"/>
          <w:highlight w:val="none"/>
          <w:lang w:val="en-US" w:eastAsia="zh-CN"/>
          <w14:textFill>
            <w14:solidFill>
              <w14:schemeClr w14:val="tx1"/>
            </w14:solidFill>
          </w14:textFill>
        </w:rPr>
        <w:t>与现行的法律、法规及标准的关系</w:t>
      </w:r>
    </w:p>
    <w:p w14:paraId="030C19C7">
      <w:pPr>
        <w:pStyle w:val="18"/>
        <w:numPr>
          <w:ilvl w:val="0"/>
          <w:numId w:val="0"/>
        </w:numPr>
        <w:spacing w:line="360" w:lineRule="auto"/>
        <w:ind w:firstLine="720" w:firstLineChars="300"/>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1、本标准仅参照 GB/T18647-2020 动物球虫病诊断技术 中虫卵盐水漂浮方法。因球虫感染具有严格的物种特异性，未参照行业标准《鸡球虫病检疫技术规范》（SN/T 4881-2017）、《兔球虫病检疫技术规范》（SN/T 5193-2020），地方标准《宁夏奶牛球虫病诊断和防制技术规范》（DB/T1723-2020）、《规模化奶山羊场球虫病防治技术规范》（DB15/T 3681-2024）、《肉鸡球虫病防治技术规范》 （DB15/T 3681-2024）（DB51/T 2707-2020）、《鸡球虫病防治技术规范》（DB62/T 2523-2024）。</w:t>
      </w:r>
    </w:p>
    <w:p w14:paraId="75767A6D">
      <w:pPr>
        <w:spacing w:line="360" w:lineRule="auto"/>
        <w:ind w:firstLine="720" w:firstLineChars="300"/>
        <w:rPr>
          <w:rFonts w:hint="eastAsia" w:ascii="宋体" w:hAnsi="宋体" w:eastAsia="宋体" w:cs="宋体"/>
          <w:color w:val="000000" w:themeColor="text1"/>
          <w:sz w:val="24"/>
          <w:highlight w:val="none"/>
          <w:lang w:val="en-US" w:eastAsia="zh-CN"/>
          <w14:textFill>
            <w14:solidFill>
              <w14:schemeClr w14:val="tx1"/>
            </w14:solidFill>
          </w14:textFill>
        </w:rPr>
      </w:pPr>
      <w:r>
        <w:rPr>
          <w:rFonts w:hint="eastAsia" w:ascii="宋体" w:hAnsi="宋体" w:eastAsia="宋体" w:cs="宋体"/>
          <w:color w:val="000000" w:themeColor="text1"/>
          <w:sz w:val="24"/>
          <w:highlight w:val="none"/>
          <w:lang w:val="en-US" w:eastAsia="zh-CN"/>
          <w14:textFill>
            <w14:solidFill>
              <w14:schemeClr w14:val="tx1"/>
            </w14:solidFill>
          </w14:textFill>
        </w:rPr>
        <w:t>2、新旧地方标准对比见表2。</w:t>
      </w:r>
    </w:p>
    <w:p w14:paraId="181BBF4B">
      <w:pPr>
        <w:keepNext w:val="0"/>
        <w:keepLines w:val="0"/>
        <w:pageBreakBefore w:val="0"/>
        <w:widowControl w:val="0"/>
        <w:kinsoku/>
        <w:wordWrap/>
        <w:overflowPunct/>
        <w:topLinePunct w:val="0"/>
        <w:autoSpaceDE/>
        <w:autoSpaceDN/>
        <w:bidi w:val="0"/>
        <w:adjustRightInd/>
        <w:snapToGrid/>
        <w:spacing w:line="400" w:lineRule="exact"/>
        <w:ind w:firstLine="480" w:firstLineChars="200"/>
        <w:jc w:val="center"/>
        <w:textAlignment w:val="auto"/>
        <w:rPr>
          <w:rFonts w:hint="eastAsia" w:ascii="宋体" w:hAnsi="宋体" w:eastAsia="宋体" w:cs="宋体"/>
          <w:color w:val="000000" w:themeColor="text1"/>
          <w:kern w:val="2"/>
          <w:sz w:val="24"/>
          <w:szCs w:val="24"/>
          <w:highlight w:val="none"/>
          <w:lang w:val="en-US" w:eastAsia="zh-CN" w:bidi="ar-SA"/>
          <w14:textFill>
            <w14:solidFill>
              <w14:schemeClr w14:val="tx1"/>
            </w14:solidFill>
          </w14:textFill>
        </w:rPr>
      </w:pPr>
      <w:r>
        <w:rPr>
          <w:rFonts w:hint="eastAsia" w:ascii="宋体" w:hAnsi="宋体" w:eastAsia="宋体" w:cs="宋体"/>
          <w:color w:val="000000" w:themeColor="text1"/>
          <w:kern w:val="2"/>
          <w:sz w:val="24"/>
          <w:szCs w:val="24"/>
          <w:highlight w:val="none"/>
          <w:lang w:val="en-US" w:eastAsia="zh-CN" w:bidi="ar-SA"/>
          <w14:textFill>
            <w14:solidFill>
              <w14:schemeClr w14:val="tx1"/>
            </w14:solidFill>
          </w14:textFill>
        </w:rPr>
        <w:t>表2 新旧地方标准对比表</w:t>
      </w:r>
    </w:p>
    <w:tbl>
      <w:tblPr>
        <w:tblStyle w:val="13"/>
        <w:tblpPr w:leftFromText="180" w:rightFromText="180" w:vertAnchor="text" w:horzAnchor="page" w:tblpXSpec="center" w:tblpY="466"/>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1053"/>
        <w:gridCol w:w="1705"/>
        <w:gridCol w:w="2623"/>
        <w:gridCol w:w="3907"/>
      </w:tblGrid>
      <w:tr w14:paraId="1847A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90" w:hRule="atLeast"/>
          <w:tblHeader/>
          <w:jc w:val="center"/>
        </w:trPr>
        <w:tc>
          <w:tcPr>
            <w:tcW w:w="1053" w:type="dxa"/>
            <w:tcBorders>
              <w:tl2br w:val="nil"/>
              <w:tr2bl w:val="nil"/>
            </w:tcBorders>
            <w:shd w:val="clear" w:color="auto" w:fill="auto"/>
            <w:tcMar>
              <w:top w:w="120" w:type="dxa"/>
              <w:left w:w="180" w:type="dxa"/>
              <w:bottom w:w="120" w:type="dxa"/>
              <w:right w:w="180" w:type="dxa"/>
            </w:tcMar>
            <w:vAlign w:val="center"/>
          </w:tcPr>
          <w:p w14:paraId="529232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b w:val="0"/>
                <w:bCs w:val="0"/>
                <w:color w:val="000000" w:themeColor="text1"/>
                <w:sz w:val="24"/>
                <w:szCs w:val="24"/>
                <w:highlight w:val="none"/>
                <w14:textFill>
                  <w14:solidFill>
                    <w14:schemeClr w14:val="tx1"/>
                  </w14:solidFill>
                </w14:textFill>
              </w:rPr>
            </w:pPr>
            <w:r>
              <w:rPr>
                <w:rFonts w:hint="eastAsia" w:ascii="宋体" w:hAnsi="宋体" w:eastAsia="宋体" w:cs="宋体"/>
                <w:b w:val="0"/>
                <w:bCs w:val="0"/>
                <w:color w:val="000000" w:themeColor="text1"/>
                <w:kern w:val="0"/>
                <w:sz w:val="24"/>
                <w:szCs w:val="24"/>
                <w:highlight w:val="none"/>
                <w:lang w:val="en-US" w:eastAsia="zh-CN" w:bidi="ar"/>
                <w14:textFill>
                  <w14:solidFill>
                    <w14:schemeClr w14:val="tx1"/>
                  </w14:solidFill>
                </w14:textFill>
              </w:rPr>
              <w:t>序号</w:t>
            </w:r>
          </w:p>
        </w:tc>
        <w:tc>
          <w:tcPr>
            <w:tcW w:w="1705" w:type="dxa"/>
            <w:tcBorders>
              <w:tl2br w:val="nil"/>
              <w:tr2bl w:val="nil"/>
            </w:tcBorders>
            <w:shd w:val="clear" w:color="auto" w:fill="auto"/>
            <w:tcMar>
              <w:top w:w="120" w:type="dxa"/>
              <w:left w:w="180" w:type="dxa"/>
              <w:bottom w:w="120" w:type="dxa"/>
              <w:right w:w="180" w:type="dxa"/>
            </w:tcMar>
            <w:vAlign w:val="center"/>
          </w:tcPr>
          <w:p w14:paraId="0D354C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b w:val="0"/>
                <w:bCs w:val="0"/>
                <w:color w:val="000000" w:themeColor="text1"/>
                <w:sz w:val="24"/>
                <w:szCs w:val="24"/>
                <w:highlight w:val="none"/>
                <w14:textFill>
                  <w14:solidFill>
                    <w14:schemeClr w14:val="tx1"/>
                  </w14:solidFill>
                </w14:textFill>
              </w:rPr>
            </w:pPr>
            <w:r>
              <w:rPr>
                <w:rFonts w:hint="eastAsia" w:ascii="宋体" w:hAnsi="宋体" w:eastAsia="宋体" w:cs="宋体"/>
                <w:b w:val="0"/>
                <w:bCs w:val="0"/>
                <w:color w:val="000000" w:themeColor="text1"/>
                <w:kern w:val="0"/>
                <w:sz w:val="24"/>
                <w:szCs w:val="24"/>
                <w:highlight w:val="none"/>
                <w:lang w:val="en-US" w:eastAsia="zh-CN" w:bidi="ar"/>
                <w14:textFill>
                  <w14:solidFill>
                    <w14:schemeClr w14:val="tx1"/>
                  </w14:solidFill>
                </w14:textFill>
              </w:rPr>
              <w:t>技术及文本内容</w:t>
            </w:r>
          </w:p>
        </w:tc>
        <w:tc>
          <w:tcPr>
            <w:tcW w:w="2623" w:type="dxa"/>
            <w:tcBorders>
              <w:tl2br w:val="nil"/>
              <w:tr2bl w:val="nil"/>
            </w:tcBorders>
            <w:shd w:val="clear" w:color="auto" w:fill="auto"/>
            <w:tcMar>
              <w:top w:w="120" w:type="dxa"/>
              <w:left w:w="180" w:type="dxa"/>
              <w:bottom w:w="120" w:type="dxa"/>
              <w:right w:w="180" w:type="dxa"/>
            </w:tcMar>
            <w:vAlign w:val="center"/>
          </w:tcPr>
          <w:p w14:paraId="2C6E8E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b w:val="0"/>
                <w:bCs w:val="0"/>
                <w:color w:val="000000" w:themeColor="text1"/>
                <w:sz w:val="24"/>
                <w:szCs w:val="24"/>
                <w:highlight w:val="none"/>
                <w14:textFill>
                  <w14:solidFill>
                    <w14:schemeClr w14:val="tx1"/>
                  </w14:solidFill>
                </w14:textFill>
              </w:rPr>
            </w:pPr>
            <w:r>
              <w:rPr>
                <w:rFonts w:hint="eastAsia" w:ascii="宋体" w:hAnsi="宋体" w:eastAsia="宋体" w:cs="宋体"/>
                <w:b w:val="0"/>
                <w:bCs w:val="0"/>
                <w:color w:val="000000" w:themeColor="text1"/>
                <w:kern w:val="0"/>
                <w:sz w:val="24"/>
                <w:szCs w:val="24"/>
                <w:highlight w:val="none"/>
                <w:lang w:val="en-US" w:eastAsia="zh-CN" w:bidi="ar"/>
                <w14:textFill>
                  <w14:solidFill>
                    <w14:schemeClr w14:val="tx1"/>
                  </w14:solidFill>
                </w14:textFill>
              </w:rPr>
              <w:t>DB64/T1723-2020</w:t>
            </w:r>
          </w:p>
        </w:tc>
        <w:tc>
          <w:tcPr>
            <w:tcW w:w="3907" w:type="dxa"/>
            <w:tcBorders>
              <w:tl2br w:val="nil"/>
              <w:tr2bl w:val="nil"/>
            </w:tcBorders>
            <w:shd w:val="clear" w:color="auto" w:fill="auto"/>
            <w:tcMar>
              <w:top w:w="120" w:type="dxa"/>
              <w:left w:w="180" w:type="dxa"/>
              <w:bottom w:w="120" w:type="dxa"/>
              <w:right w:w="180" w:type="dxa"/>
            </w:tcMar>
            <w:vAlign w:val="center"/>
          </w:tcPr>
          <w:p w14:paraId="462617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b w:val="0"/>
                <w:bCs w:val="0"/>
                <w:color w:val="000000" w:themeColor="text1"/>
                <w:sz w:val="24"/>
                <w:szCs w:val="24"/>
                <w:highlight w:val="none"/>
                <w14:textFill>
                  <w14:solidFill>
                    <w14:schemeClr w14:val="tx1"/>
                  </w14:solidFill>
                </w14:textFill>
              </w:rPr>
            </w:pPr>
            <w:r>
              <w:rPr>
                <w:rFonts w:hint="eastAsia" w:ascii="宋体" w:hAnsi="宋体" w:eastAsia="宋体" w:cs="宋体"/>
                <w:b w:val="0"/>
                <w:bCs w:val="0"/>
                <w:color w:val="000000" w:themeColor="text1"/>
                <w:kern w:val="0"/>
                <w:sz w:val="24"/>
                <w:szCs w:val="24"/>
                <w:highlight w:val="none"/>
                <w:lang w:val="en-US" w:eastAsia="zh-CN" w:bidi="ar"/>
                <w14:textFill>
                  <w14:solidFill>
                    <w14:schemeClr w14:val="tx1"/>
                  </w14:solidFill>
                </w14:textFill>
              </w:rPr>
              <w:t>本标准</w:t>
            </w:r>
          </w:p>
        </w:tc>
      </w:tr>
      <w:tr w14:paraId="667B8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1F2915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1</w:t>
            </w:r>
          </w:p>
        </w:tc>
        <w:tc>
          <w:tcPr>
            <w:tcW w:w="1705" w:type="dxa"/>
            <w:tcBorders>
              <w:tl2br w:val="nil"/>
              <w:tr2bl w:val="nil"/>
            </w:tcBorders>
            <w:shd w:val="clear" w:color="auto" w:fill="auto"/>
            <w:tcMar>
              <w:top w:w="120" w:type="dxa"/>
              <w:left w:w="180" w:type="dxa"/>
              <w:bottom w:w="120" w:type="dxa"/>
              <w:right w:w="180" w:type="dxa"/>
            </w:tcMar>
            <w:vAlign w:val="center"/>
          </w:tcPr>
          <w:p w14:paraId="55FD17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题目</w:t>
            </w:r>
          </w:p>
        </w:tc>
        <w:tc>
          <w:tcPr>
            <w:tcW w:w="2623" w:type="dxa"/>
            <w:tcBorders>
              <w:tl2br w:val="nil"/>
              <w:tr2bl w:val="nil"/>
            </w:tcBorders>
            <w:shd w:val="clear" w:color="auto" w:fill="auto"/>
            <w:tcMar>
              <w:top w:w="120" w:type="dxa"/>
              <w:left w:w="180" w:type="dxa"/>
              <w:bottom w:w="120" w:type="dxa"/>
              <w:right w:w="180" w:type="dxa"/>
            </w:tcMar>
            <w:vAlign w:val="center"/>
          </w:tcPr>
          <w:p w14:paraId="3136CB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宁夏奶牛球虫病诊断和防制技术规范</w:t>
            </w:r>
          </w:p>
        </w:tc>
        <w:tc>
          <w:tcPr>
            <w:tcW w:w="3907" w:type="dxa"/>
            <w:tcBorders>
              <w:tl2br w:val="nil"/>
              <w:tr2bl w:val="nil"/>
            </w:tcBorders>
            <w:shd w:val="clear" w:color="auto" w:fill="auto"/>
            <w:tcMar>
              <w:top w:w="120" w:type="dxa"/>
              <w:left w:w="180" w:type="dxa"/>
              <w:bottom w:w="120" w:type="dxa"/>
              <w:right w:w="180" w:type="dxa"/>
            </w:tcMar>
            <w:vAlign w:val="center"/>
          </w:tcPr>
          <w:p w14:paraId="46783E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修订为牛球虫病诊断和防制技术规程</w:t>
            </w:r>
          </w:p>
        </w:tc>
      </w:tr>
      <w:tr w14:paraId="3A93E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0EFD53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2</w:t>
            </w:r>
          </w:p>
        </w:tc>
        <w:tc>
          <w:tcPr>
            <w:tcW w:w="1705" w:type="dxa"/>
            <w:tcBorders>
              <w:tl2br w:val="nil"/>
              <w:tr2bl w:val="nil"/>
            </w:tcBorders>
            <w:shd w:val="clear" w:color="auto" w:fill="auto"/>
            <w:tcMar>
              <w:top w:w="120" w:type="dxa"/>
              <w:left w:w="180" w:type="dxa"/>
              <w:bottom w:w="120" w:type="dxa"/>
              <w:right w:w="180" w:type="dxa"/>
            </w:tcMar>
            <w:vAlign w:val="center"/>
          </w:tcPr>
          <w:p w14:paraId="609424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范围</w:t>
            </w:r>
          </w:p>
        </w:tc>
        <w:tc>
          <w:tcPr>
            <w:tcW w:w="2623" w:type="dxa"/>
            <w:tcBorders>
              <w:tl2br w:val="nil"/>
              <w:tr2bl w:val="nil"/>
            </w:tcBorders>
            <w:shd w:val="clear" w:color="auto" w:fill="auto"/>
            <w:tcMar>
              <w:top w:w="120" w:type="dxa"/>
              <w:left w:w="180" w:type="dxa"/>
              <w:bottom w:w="120" w:type="dxa"/>
              <w:right w:w="180" w:type="dxa"/>
            </w:tcMar>
            <w:vAlign w:val="center"/>
          </w:tcPr>
          <w:p w14:paraId="6375CD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奶牛</w:t>
            </w:r>
          </w:p>
        </w:tc>
        <w:tc>
          <w:tcPr>
            <w:tcW w:w="3907" w:type="dxa"/>
            <w:tcBorders>
              <w:tl2br w:val="nil"/>
              <w:tr2bl w:val="nil"/>
            </w:tcBorders>
            <w:shd w:val="clear" w:color="auto" w:fill="auto"/>
            <w:tcMar>
              <w:top w:w="120" w:type="dxa"/>
              <w:left w:w="180" w:type="dxa"/>
              <w:bottom w:w="120" w:type="dxa"/>
              <w:right w:w="180" w:type="dxa"/>
            </w:tcMar>
            <w:vAlign w:val="center"/>
          </w:tcPr>
          <w:p w14:paraId="0EB41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有。增加肉牛。</w:t>
            </w:r>
          </w:p>
        </w:tc>
      </w:tr>
      <w:tr w14:paraId="2AF3B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2CA888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3</w:t>
            </w:r>
          </w:p>
        </w:tc>
        <w:tc>
          <w:tcPr>
            <w:tcW w:w="1705" w:type="dxa"/>
            <w:tcBorders>
              <w:tl2br w:val="nil"/>
              <w:tr2bl w:val="nil"/>
            </w:tcBorders>
            <w:shd w:val="clear" w:color="auto" w:fill="auto"/>
            <w:tcMar>
              <w:top w:w="120" w:type="dxa"/>
              <w:left w:w="180" w:type="dxa"/>
              <w:bottom w:w="120" w:type="dxa"/>
              <w:right w:w="180" w:type="dxa"/>
            </w:tcMar>
            <w:vAlign w:val="center"/>
          </w:tcPr>
          <w:p w14:paraId="7DA23E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规范性引用文件</w:t>
            </w:r>
          </w:p>
        </w:tc>
        <w:tc>
          <w:tcPr>
            <w:tcW w:w="2623" w:type="dxa"/>
            <w:tcBorders>
              <w:tl2br w:val="nil"/>
              <w:tr2bl w:val="nil"/>
            </w:tcBorders>
            <w:shd w:val="clear" w:color="auto" w:fill="auto"/>
            <w:tcMar>
              <w:top w:w="120" w:type="dxa"/>
              <w:left w:w="180" w:type="dxa"/>
              <w:bottom w:w="120" w:type="dxa"/>
              <w:right w:w="180" w:type="dxa"/>
            </w:tcMar>
            <w:vAlign w:val="center"/>
          </w:tcPr>
          <w:p w14:paraId="186534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w:t>
            </w:r>
          </w:p>
        </w:tc>
        <w:tc>
          <w:tcPr>
            <w:tcW w:w="3907" w:type="dxa"/>
            <w:tcBorders>
              <w:tl2br w:val="nil"/>
              <w:tr2bl w:val="nil"/>
            </w:tcBorders>
            <w:shd w:val="clear" w:color="auto" w:fill="auto"/>
            <w:tcMar>
              <w:top w:w="120" w:type="dxa"/>
              <w:left w:w="180" w:type="dxa"/>
              <w:bottom w:w="120" w:type="dxa"/>
              <w:right w:w="180" w:type="dxa"/>
            </w:tcMar>
            <w:vAlign w:val="center"/>
          </w:tcPr>
          <w:p w14:paraId="05191A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有。增加中华人民共和国兽药典。</w:t>
            </w:r>
          </w:p>
        </w:tc>
      </w:tr>
      <w:tr w14:paraId="19719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60425C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4</w:t>
            </w:r>
          </w:p>
        </w:tc>
        <w:tc>
          <w:tcPr>
            <w:tcW w:w="1705" w:type="dxa"/>
            <w:tcBorders>
              <w:tl2br w:val="nil"/>
              <w:tr2bl w:val="nil"/>
            </w:tcBorders>
            <w:shd w:val="clear" w:color="auto" w:fill="auto"/>
            <w:tcMar>
              <w:top w:w="120" w:type="dxa"/>
              <w:left w:w="180" w:type="dxa"/>
              <w:bottom w:w="120" w:type="dxa"/>
              <w:right w:w="180" w:type="dxa"/>
            </w:tcMar>
            <w:vAlign w:val="center"/>
          </w:tcPr>
          <w:p w14:paraId="3F790B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术语和定义</w:t>
            </w:r>
          </w:p>
        </w:tc>
        <w:tc>
          <w:tcPr>
            <w:tcW w:w="2623" w:type="dxa"/>
            <w:tcBorders>
              <w:tl2br w:val="nil"/>
              <w:tr2bl w:val="nil"/>
            </w:tcBorders>
            <w:shd w:val="clear" w:color="auto" w:fill="auto"/>
            <w:tcMar>
              <w:top w:w="120" w:type="dxa"/>
              <w:left w:w="180" w:type="dxa"/>
              <w:bottom w:w="120" w:type="dxa"/>
              <w:right w:w="180" w:type="dxa"/>
            </w:tcMar>
            <w:vAlign w:val="center"/>
          </w:tcPr>
          <w:p w14:paraId="318105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牛球虫病定义</w:t>
            </w:r>
          </w:p>
        </w:tc>
        <w:tc>
          <w:tcPr>
            <w:tcW w:w="3907" w:type="dxa"/>
            <w:tcBorders>
              <w:tl2br w:val="nil"/>
              <w:tr2bl w:val="nil"/>
            </w:tcBorders>
            <w:shd w:val="clear" w:color="auto" w:fill="auto"/>
            <w:tcMar>
              <w:top w:w="120" w:type="dxa"/>
              <w:left w:w="180" w:type="dxa"/>
              <w:bottom w:w="120" w:type="dxa"/>
              <w:right w:w="180" w:type="dxa"/>
            </w:tcMar>
            <w:vAlign w:val="center"/>
          </w:tcPr>
          <w:p w14:paraId="472815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有。进行技术修改。</w:t>
            </w:r>
          </w:p>
        </w:tc>
      </w:tr>
      <w:tr w14:paraId="3565C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6E24E4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5</w:t>
            </w:r>
          </w:p>
        </w:tc>
        <w:tc>
          <w:tcPr>
            <w:tcW w:w="1705" w:type="dxa"/>
            <w:tcBorders>
              <w:tl2br w:val="nil"/>
              <w:tr2bl w:val="nil"/>
            </w:tcBorders>
            <w:shd w:val="clear" w:color="auto" w:fill="auto"/>
            <w:tcMar>
              <w:top w:w="120" w:type="dxa"/>
              <w:left w:w="180" w:type="dxa"/>
              <w:bottom w:w="120" w:type="dxa"/>
              <w:right w:w="180" w:type="dxa"/>
            </w:tcMar>
            <w:vAlign w:val="center"/>
          </w:tcPr>
          <w:p w14:paraId="31210A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left"/>
              <w:textAlignment w:val="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风险预警</w:t>
            </w:r>
          </w:p>
        </w:tc>
        <w:tc>
          <w:tcPr>
            <w:tcW w:w="2623" w:type="dxa"/>
            <w:tcBorders>
              <w:tl2br w:val="nil"/>
              <w:tr2bl w:val="nil"/>
            </w:tcBorders>
            <w:shd w:val="clear" w:color="auto" w:fill="auto"/>
            <w:tcMar>
              <w:top w:w="120" w:type="dxa"/>
              <w:left w:w="180" w:type="dxa"/>
              <w:bottom w:w="120" w:type="dxa"/>
              <w:right w:w="180" w:type="dxa"/>
            </w:tcMar>
            <w:vAlign w:val="center"/>
          </w:tcPr>
          <w:p w14:paraId="4549A5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无</w:t>
            </w:r>
          </w:p>
        </w:tc>
        <w:tc>
          <w:tcPr>
            <w:tcW w:w="3907" w:type="dxa"/>
            <w:tcBorders>
              <w:tl2br w:val="nil"/>
              <w:tr2bl w:val="nil"/>
            </w:tcBorders>
            <w:shd w:val="clear" w:color="auto" w:fill="auto"/>
            <w:tcMar>
              <w:top w:w="120" w:type="dxa"/>
              <w:left w:w="180" w:type="dxa"/>
              <w:bottom w:w="120" w:type="dxa"/>
              <w:right w:w="180" w:type="dxa"/>
            </w:tcMar>
            <w:vAlign w:val="center"/>
          </w:tcPr>
          <w:p w14:paraId="050527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增加。</w:t>
            </w:r>
          </w:p>
        </w:tc>
      </w:tr>
      <w:tr w14:paraId="064E0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2D3186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6</w:t>
            </w:r>
          </w:p>
        </w:tc>
        <w:tc>
          <w:tcPr>
            <w:tcW w:w="1705" w:type="dxa"/>
            <w:tcBorders>
              <w:tl2br w:val="nil"/>
              <w:tr2bl w:val="nil"/>
            </w:tcBorders>
            <w:shd w:val="clear" w:color="auto" w:fill="auto"/>
            <w:tcMar>
              <w:top w:w="120" w:type="dxa"/>
              <w:left w:w="180" w:type="dxa"/>
              <w:bottom w:w="120" w:type="dxa"/>
              <w:right w:w="180" w:type="dxa"/>
            </w:tcMar>
            <w:vAlign w:val="center"/>
          </w:tcPr>
          <w:p w14:paraId="1642F2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传播途径</w:t>
            </w:r>
          </w:p>
        </w:tc>
        <w:tc>
          <w:tcPr>
            <w:tcW w:w="2623" w:type="dxa"/>
            <w:tcBorders>
              <w:tl2br w:val="nil"/>
              <w:tr2bl w:val="nil"/>
            </w:tcBorders>
            <w:shd w:val="clear" w:color="auto" w:fill="auto"/>
            <w:tcMar>
              <w:top w:w="120" w:type="dxa"/>
              <w:left w:w="180" w:type="dxa"/>
              <w:bottom w:w="120" w:type="dxa"/>
              <w:right w:w="180" w:type="dxa"/>
            </w:tcMar>
            <w:vAlign w:val="center"/>
          </w:tcPr>
          <w:p w14:paraId="5785B0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w:t>
            </w:r>
          </w:p>
        </w:tc>
        <w:tc>
          <w:tcPr>
            <w:tcW w:w="3907" w:type="dxa"/>
            <w:tcBorders>
              <w:tl2br w:val="nil"/>
              <w:tr2bl w:val="nil"/>
            </w:tcBorders>
            <w:shd w:val="clear" w:color="auto" w:fill="auto"/>
            <w:tcMar>
              <w:top w:w="120" w:type="dxa"/>
              <w:left w:w="180" w:type="dxa"/>
              <w:bottom w:w="120" w:type="dxa"/>
              <w:right w:w="180" w:type="dxa"/>
            </w:tcMar>
            <w:vAlign w:val="center"/>
          </w:tcPr>
          <w:p w14:paraId="015EF0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有。取消该部分的章节，保留内容，修改后整合至风险因素部分。</w:t>
            </w:r>
          </w:p>
        </w:tc>
      </w:tr>
      <w:tr w14:paraId="447C0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1503DC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7</w:t>
            </w:r>
          </w:p>
        </w:tc>
        <w:tc>
          <w:tcPr>
            <w:tcW w:w="1705" w:type="dxa"/>
            <w:tcBorders>
              <w:tl2br w:val="nil"/>
              <w:tr2bl w:val="nil"/>
            </w:tcBorders>
            <w:shd w:val="clear" w:color="auto" w:fill="auto"/>
            <w:tcMar>
              <w:top w:w="120" w:type="dxa"/>
              <w:left w:w="180" w:type="dxa"/>
              <w:bottom w:w="120" w:type="dxa"/>
              <w:right w:w="180" w:type="dxa"/>
            </w:tcMar>
            <w:vAlign w:val="center"/>
          </w:tcPr>
          <w:p w14:paraId="02E962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诊断</w:t>
            </w:r>
          </w:p>
        </w:tc>
        <w:tc>
          <w:tcPr>
            <w:tcW w:w="2623" w:type="dxa"/>
            <w:tcBorders>
              <w:tl2br w:val="nil"/>
              <w:tr2bl w:val="nil"/>
            </w:tcBorders>
            <w:shd w:val="clear" w:color="auto" w:fill="auto"/>
            <w:tcMar>
              <w:top w:w="120" w:type="dxa"/>
              <w:left w:w="180" w:type="dxa"/>
              <w:bottom w:w="120" w:type="dxa"/>
              <w:right w:w="180" w:type="dxa"/>
            </w:tcMar>
            <w:vAlign w:val="center"/>
          </w:tcPr>
          <w:p w14:paraId="3B86B5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w:t>
            </w:r>
          </w:p>
        </w:tc>
        <w:tc>
          <w:tcPr>
            <w:tcW w:w="3907" w:type="dxa"/>
            <w:tcBorders>
              <w:tl2br w:val="nil"/>
              <w:tr2bl w:val="nil"/>
            </w:tcBorders>
            <w:shd w:val="clear" w:color="auto" w:fill="auto"/>
            <w:tcMar>
              <w:top w:w="120" w:type="dxa"/>
              <w:left w:w="180" w:type="dxa"/>
              <w:bottom w:w="120" w:type="dxa"/>
              <w:right w:w="180" w:type="dxa"/>
            </w:tcMar>
            <w:vAlign w:val="center"/>
          </w:tcPr>
          <w:p w14:paraId="334565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有。修改样本采集内容，增加肉牛易感年龄，牛球虫病临床症状，隐性感染和显性感染诊断的内容。</w:t>
            </w:r>
          </w:p>
        </w:tc>
      </w:tr>
      <w:tr w14:paraId="4C83F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5D0766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8</w:t>
            </w:r>
          </w:p>
        </w:tc>
        <w:tc>
          <w:tcPr>
            <w:tcW w:w="1705" w:type="dxa"/>
            <w:tcBorders>
              <w:tl2br w:val="nil"/>
              <w:tr2bl w:val="nil"/>
            </w:tcBorders>
            <w:shd w:val="clear" w:color="auto" w:fill="auto"/>
            <w:tcMar>
              <w:top w:w="120" w:type="dxa"/>
              <w:left w:w="180" w:type="dxa"/>
              <w:bottom w:w="120" w:type="dxa"/>
              <w:right w:w="180" w:type="dxa"/>
            </w:tcMar>
            <w:vAlign w:val="center"/>
          </w:tcPr>
          <w:p w14:paraId="319B71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加强饲养管理，改善环境卫生</w:t>
            </w:r>
          </w:p>
        </w:tc>
        <w:tc>
          <w:tcPr>
            <w:tcW w:w="2623" w:type="dxa"/>
            <w:tcBorders>
              <w:tl2br w:val="nil"/>
              <w:tr2bl w:val="nil"/>
            </w:tcBorders>
            <w:shd w:val="clear" w:color="auto" w:fill="auto"/>
            <w:tcMar>
              <w:top w:w="120" w:type="dxa"/>
              <w:left w:w="180" w:type="dxa"/>
              <w:bottom w:w="120" w:type="dxa"/>
              <w:right w:w="180" w:type="dxa"/>
            </w:tcMar>
            <w:vAlign w:val="center"/>
          </w:tcPr>
          <w:p w14:paraId="57BE91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w:t>
            </w:r>
          </w:p>
        </w:tc>
        <w:tc>
          <w:tcPr>
            <w:tcW w:w="3907" w:type="dxa"/>
            <w:tcBorders>
              <w:tl2br w:val="nil"/>
              <w:tr2bl w:val="nil"/>
            </w:tcBorders>
            <w:shd w:val="clear" w:color="auto" w:fill="auto"/>
            <w:tcMar>
              <w:top w:w="120" w:type="dxa"/>
              <w:left w:w="180" w:type="dxa"/>
              <w:bottom w:w="120" w:type="dxa"/>
              <w:right w:w="180" w:type="dxa"/>
            </w:tcMar>
            <w:vAlign w:val="center"/>
          </w:tcPr>
          <w:p w14:paraId="192091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有。完善内容。</w:t>
            </w:r>
          </w:p>
        </w:tc>
      </w:tr>
      <w:tr w14:paraId="3505D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2852C3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9</w:t>
            </w:r>
          </w:p>
        </w:tc>
        <w:tc>
          <w:tcPr>
            <w:tcW w:w="1705" w:type="dxa"/>
            <w:tcBorders>
              <w:tl2br w:val="nil"/>
              <w:tr2bl w:val="nil"/>
            </w:tcBorders>
            <w:shd w:val="clear" w:color="auto" w:fill="auto"/>
            <w:tcMar>
              <w:top w:w="120" w:type="dxa"/>
              <w:left w:w="180" w:type="dxa"/>
              <w:bottom w:w="120" w:type="dxa"/>
              <w:right w:w="180" w:type="dxa"/>
            </w:tcMar>
            <w:vAlign w:val="center"/>
          </w:tcPr>
          <w:p w14:paraId="4E46AF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定期监测和保健</w:t>
            </w:r>
          </w:p>
        </w:tc>
        <w:tc>
          <w:tcPr>
            <w:tcW w:w="2623" w:type="dxa"/>
            <w:tcBorders>
              <w:tl2br w:val="nil"/>
              <w:tr2bl w:val="nil"/>
            </w:tcBorders>
            <w:shd w:val="clear" w:color="auto" w:fill="auto"/>
            <w:tcMar>
              <w:top w:w="120" w:type="dxa"/>
              <w:left w:w="180" w:type="dxa"/>
              <w:bottom w:w="120" w:type="dxa"/>
              <w:right w:w="180" w:type="dxa"/>
            </w:tcMar>
            <w:vAlign w:val="center"/>
          </w:tcPr>
          <w:p w14:paraId="74E025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w:t>
            </w:r>
          </w:p>
        </w:tc>
        <w:tc>
          <w:tcPr>
            <w:tcW w:w="3907" w:type="dxa"/>
            <w:tcBorders>
              <w:tl2br w:val="nil"/>
              <w:tr2bl w:val="nil"/>
            </w:tcBorders>
            <w:shd w:val="clear" w:color="auto" w:fill="auto"/>
            <w:tcMar>
              <w:top w:w="120" w:type="dxa"/>
              <w:left w:w="180" w:type="dxa"/>
              <w:bottom w:w="120" w:type="dxa"/>
              <w:right w:w="180" w:type="dxa"/>
            </w:tcMar>
            <w:vAlign w:val="center"/>
          </w:tcPr>
          <w:p w14:paraId="6A78A4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有。完善内容。</w:t>
            </w:r>
          </w:p>
        </w:tc>
      </w:tr>
      <w:tr w14:paraId="190E2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47676B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10</w:t>
            </w:r>
          </w:p>
        </w:tc>
        <w:tc>
          <w:tcPr>
            <w:tcW w:w="1705" w:type="dxa"/>
            <w:tcBorders>
              <w:tl2br w:val="nil"/>
              <w:tr2bl w:val="nil"/>
            </w:tcBorders>
            <w:shd w:val="clear" w:color="auto" w:fill="auto"/>
            <w:tcMar>
              <w:top w:w="120" w:type="dxa"/>
              <w:left w:w="180" w:type="dxa"/>
              <w:bottom w:w="120" w:type="dxa"/>
              <w:right w:w="180" w:type="dxa"/>
            </w:tcMar>
            <w:vAlign w:val="center"/>
          </w:tcPr>
          <w:p w14:paraId="20752F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保健方案</w:t>
            </w:r>
          </w:p>
        </w:tc>
        <w:tc>
          <w:tcPr>
            <w:tcW w:w="2623" w:type="dxa"/>
            <w:tcBorders>
              <w:tl2br w:val="nil"/>
              <w:tr2bl w:val="nil"/>
            </w:tcBorders>
            <w:shd w:val="clear" w:color="auto" w:fill="auto"/>
            <w:tcMar>
              <w:top w:w="120" w:type="dxa"/>
              <w:left w:w="180" w:type="dxa"/>
              <w:bottom w:w="120" w:type="dxa"/>
              <w:right w:w="180" w:type="dxa"/>
            </w:tcMar>
            <w:vAlign w:val="center"/>
          </w:tcPr>
          <w:p w14:paraId="271B35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w:t>
            </w:r>
          </w:p>
        </w:tc>
        <w:tc>
          <w:tcPr>
            <w:tcW w:w="3907" w:type="dxa"/>
            <w:tcBorders>
              <w:tl2br w:val="nil"/>
              <w:tr2bl w:val="nil"/>
            </w:tcBorders>
            <w:shd w:val="clear" w:color="auto" w:fill="auto"/>
            <w:tcMar>
              <w:top w:w="120" w:type="dxa"/>
              <w:left w:w="180" w:type="dxa"/>
              <w:bottom w:w="120" w:type="dxa"/>
              <w:right w:w="180" w:type="dxa"/>
            </w:tcMar>
            <w:vAlign w:val="center"/>
          </w:tcPr>
          <w:p w14:paraId="65F6F5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有。增加中兽药保健技术。</w:t>
            </w:r>
          </w:p>
        </w:tc>
      </w:tr>
      <w:tr w14:paraId="16D9E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2696E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11</w:t>
            </w:r>
          </w:p>
        </w:tc>
        <w:tc>
          <w:tcPr>
            <w:tcW w:w="1705" w:type="dxa"/>
            <w:tcBorders>
              <w:tl2br w:val="nil"/>
              <w:tr2bl w:val="nil"/>
            </w:tcBorders>
            <w:shd w:val="clear" w:color="auto" w:fill="auto"/>
            <w:tcMar>
              <w:top w:w="120" w:type="dxa"/>
              <w:left w:w="180" w:type="dxa"/>
              <w:bottom w:w="120" w:type="dxa"/>
              <w:right w:w="180" w:type="dxa"/>
            </w:tcMar>
            <w:vAlign w:val="center"/>
          </w:tcPr>
          <w:p w14:paraId="0CF511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药物治疗</w:t>
            </w:r>
          </w:p>
        </w:tc>
        <w:tc>
          <w:tcPr>
            <w:tcW w:w="2623" w:type="dxa"/>
            <w:tcBorders>
              <w:tl2br w:val="nil"/>
              <w:tr2bl w:val="nil"/>
            </w:tcBorders>
            <w:shd w:val="clear" w:color="auto" w:fill="auto"/>
            <w:tcMar>
              <w:top w:w="120" w:type="dxa"/>
              <w:left w:w="180" w:type="dxa"/>
              <w:bottom w:w="120" w:type="dxa"/>
              <w:right w:w="180" w:type="dxa"/>
            </w:tcMar>
            <w:vAlign w:val="center"/>
          </w:tcPr>
          <w:p w14:paraId="368FF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w:t>
            </w:r>
          </w:p>
        </w:tc>
        <w:tc>
          <w:tcPr>
            <w:tcW w:w="3907" w:type="dxa"/>
            <w:tcBorders>
              <w:tl2br w:val="nil"/>
              <w:tr2bl w:val="nil"/>
            </w:tcBorders>
            <w:shd w:val="clear" w:color="auto" w:fill="auto"/>
            <w:tcMar>
              <w:top w:w="120" w:type="dxa"/>
              <w:left w:w="180" w:type="dxa"/>
              <w:bottom w:w="120" w:type="dxa"/>
              <w:right w:w="180" w:type="dxa"/>
            </w:tcMar>
            <w:vAlign w:val="center"/>
          </w:tcPr>
          <w:p w14:paraId="24A753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有。增加中兽医药治疗技术。</w:t>
            </w:r>
          </w:p>
        </w:tc>
      </w:tr>
      <w:tr w14:paraId="08BB9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1A177B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12</w:t>
            </w:r>
          </w:p>
        </w:tc>
        <w:tc>
          <w:tcPr>
            <w:tcW w:w="1705" w:type="dxa"/>
            <w:tcBorders>
              <w:tl2br w:val="nil"/>
              <w:tr2bl w:val="nil"/>
            </w:tcBorders>
            <w:shd w:val="clear" w:color="auto" w:fill="auto"/>
            <w:tcMar>
              <w:top w:w="120" w:type="dxa"/>
              <w:left w:w="180" w:type="dxa"/>
              <w:bottom w:w="120" w:type="dxa"/>
              <w:right w:w="180" w:type="dxa"/>
            </w:tcMar>
            <w:vAlign w:val="center"/>
          </w:tcPr>
          <w:p w14:paraId="33D482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疗效判定</w:t>
            </w:r>
          </w:p>
        </w:tc>
        <w:tc>
          <w:tcPr>
            <w:tcW w:w="2623" w:type="dxa"/>
            <w:tcBorders>
              <w:tl2br w:val="nil"/>
              <w:tr2bl w:val="nil"/>
            </w:tcBorders>
            <w:shd w:val="clear" w:color="auto" w:fill="auto"/>
            <w:tcMar>
              <w:top w:w="120" w:type="dxa"/>
              <w:left w:w="180" w:type="dxa"/>
              <w:bottom w:w="120" w:type="dxa"/>
              <w:right w:w="180" w:type="dxa"/>
            </w:tcMar>
            <w:vAlign w:val="center"/>
          </w:tcPr>
          <w:p w14:paraId="461B32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无</w:t>
            </w:r>
          </w:p>
        </w:tc>
        <w:tc>
          <w:tcPr>
            <w:tcW w:w="3907" w:type="dxa"/>
            <w:tcBorders>
              <w:tl2br w:val="nil"/>
              <w:tr2bl w:val="nil"/>
            </w:tcBorders>
            <w:shd w:val="clear" w:color="auto" w:fill="auto"/>
            <w:tcMar>
              <w:top w:w="120" w:type="dxa"/>
              <w:left w:w="180" w:type="dxa"/>
              <w:bottom w:w="120" w:type="dxa"/>
              <w:right w:w="180" w:type="dxa"/>
            </w:tcMar>
            <w:vAlign w:val="center"/>
          </w:tcPr>
          <w:p w14:paraId="58F040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增加。</w:t>
            </w:r>
          </w:p>
        </w:tc>
      </w:tr>
      <w:tr w14:paraId="72B10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549D6D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13</w:t>
            </w:r>
          </w:p>
        </w:tc>
        <w:tc>
          <w:tcPr>
            <w:tcW w:w="1705" w:type="dxa"/>
            <w:tcBorders>
              <w:tl2br w:val="nil"/>
              <w:tr2bl w:val="nil"/>
            </w:tcBorders>
            <w:shd w:val="clear" w:color="auto" w:fill="auto"/>
            <w:tcMar>
              <w:top w:w="120" w:type="dxa"/>
              <w:left w:w="180" w:type="dxa"/>
              <w:bottom w:w="120" w:type="dxa"/>
              <w:right w:w="180" w:type="dxa"/>
            </w:tcMar>
            <w:vAlign w:val="center"/>
          </w:tcPr>
          <w:p w14:paraId="1513F6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注意事项</w:t>
            </w:r>
          </w:p>
        </w:tc>
        <w:tc>
          <w:tcPr>
            <w:tcW w:w="2623" w:type="dxa"/>
            <w:tcBorders>
              <w:tl2br w:val="nil"/>
              <w:tr2bl w:val="nil"/>
            </w:tcBorders>
            <w:shd w:val="clear" w:color="auto" w:fill="auto"/>
            <w:tcMar>
              <w:top w:w="120" w:type="dxa"/>
              <w:left w:w="180" w:type="dxa"/>
              <w:bottom w:w="120" w:type="dxa"/>
              <w:right w:w="180" w:type="dxa"/>
            </w:tcMar>
            <w:vAlign w:val="center"/>
          </w:tcPr>
          <w:p w14:paraId="7D7ED1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无</w:t>
            </w:r>
          </w:p>
        </w:tc>
        <w:tc>
          <w:tcPr>
            <w:tcW w:w="3907" w:type="dxa"/>
            <w:tcBorders>
              <w:tl2br w:val="nil"/>
              <w:tr2bl w:val="nil"/>
            </w:tcBorders>
            <w:shd w:val="clear" w:color="auto" w:fill="auto"/>
            <w:tcMar>
              <w:top w:w="120" w:type="dxa"/>
              <w:left w:w="180" w:type="dxa"/>
              <w:bottom w:w="120" w:type="dxa"/>
              <w:right w:w="180" w:type="dxa"/>
            </w:tcMar>
            <w:vAlign w:val="center"/>
          </w:tcPr>
          <w:p w14:paraId="561EA4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增加。</w:t>
            </w:r>
          </w:p>
        </w:tc>
      </w:tr>
      <w:tr w14:paraId="5529B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70179F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14</w:t>
            </w:r>
          </w:p>
        </w:tc>
        <w:tc>
          <w:tcPr>
            <w:tcW w:w="1705" w:type="dxa"/>
            <w:tcBorders>
              <w:tl2br w:val="nil"/>
              <w:tr2bl w:val="nil"/>
            </w:tcBorders>
            <w:shd w:val="clear" w:color="auto" w:fill="auto"/>
            <w:tcMar>
              <w:top w:w="120" w:type="dxa"/>
              <w:left w:w="180" w:type="dxa"/>
              <w:bottom w:w="120" w:type="dxa"/>
              <w:right w:w="180" w:type="dxa"/>
            </w:tcMar>
            <w:vAlign w:val="center"/>
          </w:tcPr>
          <w:p w14:paraId="771330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球虫卵囊形态特征图</w:t>
            </w:r>
          </w:p>
        </w:tc>
        <w:tc>
          <w:tcPr>
            <w:tcW w:w="2623" w:type="dxa"/>
            <w:tcBorders>
              <w:tl2br w:val="nil"/>
              <w:tr2bl w:val="nil"/>
            </w:tcBorders>
            <w:shd w:val="clear" w:color="auto" w:fill="auto"/>
            <w:tcMar>
              <w:top w:w="120" w:type="dxa"/>
              <w:left w:w="180" w:type="dxa"/>
              <w:bottom w:w="120" w:type="dxa"/>
              <w:right w:w="180" w:type="dxa"/>
            </w:tcMar>
            <w:vAlign w:val="center"/>
          </w:tcPr>
          <w:p w14:paraId="047AE2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w:t>
            </w:r>
          </w:p>
        </w:tc>
        <w:tc>
          <w:tcPr>
            <w:tcW w:w="3907" w:type="dxa"/>
            <w:tcBorders>
              <w:tl2br w:val="nil"/>
              <w:tr2bl w:val="nil"/>
            </w:tcBorders>
            <w:shd w:val="clear" w:color="auto" w:fill="auto"/>
            <w:tcMar>
              <w:top w:w="120" w:type="dxa"/>
              <w:left w:w="180" w:type="dxa"/>
              <w:bottom w:w="120" w:type="dxa"/>
              <w:right w:w="180" w:type="dxa"/>
            </w:tcMar>
            <w:vAlign w:val="center"/>
          </w:tcPr>
          <w:p w14:paraId="2A3ADC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有。完善内容。</w:t>
            </w:r>
          </w:p>
        </w:tc>
      </w:tr>
      <w:tr w14:paraId="19FA0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jc w:val="center"/>
        </w:trPr>
        <w:tc>
          <w:tcPr>
            <w:tcW w:w="1053" w:type="dxa"/>
            <w:tcBorders>
              <w:tl2br w:val="nil"/>
              <w:tr2bl w:val="nil"/>
            </w:tcBorders>
            <w:shd w:val="clear" w:color="auto" w:fill="auto"/>
            <w:tcMar>
              <w:top w:w="120" w:type="dxa"/>
              <w:left w:w="180" w:type="dxa"/>
              <w:bottom w:w="120" w:type="dxa"/>
              <w:right w:w="180" w:type="dxa"/>
            </w:tcMar>
            <w:vAlign w:val="center"/>
          </w:tcPr>
          <w:p w14:paraId="2DBC89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right="0" w:firstLine="0"/>
              <w:jc w:val="center"/>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15</w:t>
            </w:r>
          </w:p>
        </w:tc>
        <w:tc>
          <w:tcPr>
            <w:tcW w:w="1705" w:type="dxa"/>
            <w:tcBorders>
              <w:tl2br w:val="nil"/>
              <w:tr2bl w:val="nil"/>
            </w:tcBorders>
            <w:shd w:val="clear" w:color="auto" w:fill="auto"/>
            <w:tcMar>
              <w:top w:w="120" w:type="dxa"/>
              <w:left w:w="180" w:type="dxa"/>
              <w:bottom w:w="120" w:type="dxa"/>
              <w:right w:w="180" w:type="dxa"/>
            </w:tcMar>
            <w:vAlign w:val="center"/>
          </w:tcPr>
          <w:p w14:paraId="2D87B3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sz w:val="24"/>
                <w:szCs w:val="24"/>
                <w:highlight w:val="none"/>
                <w:lang w:val="en-US" w:eastAsia="zh-CN"/>
                <w14:textFill>
                  <w14:solidFill>
                    <w14:schemeClr w14:val="tx1"/>
                  </w14:solidFill>
                </w14:textFill>
              </w:rPr>
            </w:pPr>
            <w:r>
              <w:rPr>
                <w:rFonts w:hint="eastAsia" w:ascii="宋体" w:hAnsi="宋体" w:eastAsia="宋体" w:cs="宋体"/>
                <w:color w:val="000000" w:themeColor="text1"/>
                <w:sz w:val="24"/>
                <w:szCs w:val="24"/>
                <w:highlight w:val="none"/>
                <w:lang w:val="en-US" w:eastAsia="zh-CN"/>
                <w14:textFill>
                  <w14:solidFill>
                    <w14:schemeClr w14:val="tx1"/>
                  </w14:solidFill>
                </w14:textFill>
              </w:rPr>
              <w:t>附录，药物的组成、功能、主治及方药出处</w:t>
            </w:r>
          </w:p>
        </w:tc>
        <w:tc>
          <w:tcPr>
            <w:tcW w:w="2623" w:type="dxa"/>
            <w:tcBorders>
              <w:tl2br w:val="nil"/>
              <w:tr2bl w:val="nil"/>
            </w:tcBorders>
            <w:shd w:val="clear" w:color="auto" w:fill="auto"/>
            <w:tcMar>
              <w:top w:w="120" w:type="dxa"/>
              <w:left w:w="180" w:type="dxa"/>
              <w:bottom w:w="120" w:type="dxa"/>
              <w:right w:w="180" w:type="dxa"/>
            </w:tcMar>
            <w:vAlign w:val="center"/>
          </w:tcPr>
          <w:p w14:paraId="355941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无</w:t>
            </w:r>
          </w:p>
        </w:tc>
        <w:tc>
          <w:tcPr>
            <w:tcW w:w="3907" w:type="dxa"/>
            <w:tcBorders>
              <w:tl2br w:val="nil"/>
              <w:tr2bl w:val="nil"/>
            </w:tcBorders>
            <w:shd w:val="clear" w:color="auto" w:fill="auto"/>
            <w:tcMar>
              <w:top w:w="120" w:type="dxa"/>
              <w:left w:w="180" w:type="dxa"/>
              <w:bottom w:w="120" w:type="dxa"/>
              <w:right w:w="180" w:type="dxa"/>
            </w:tcMar>
            <w:vAlign w:val="center"/>
          </w:tcPr>
          <w:p w14:paraId="4CDF89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exact"/>
              <w:ind w:left="0" w:leftChars="0" w:right="0" w:rightChars="0" w:firstLine="0" w:firstLineChars="0"/>
              <w:jc w:val="left"/>
              <w:textAlignment w:val="auto"/>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pPr>
            <w:r>
              <w:rPr>
                <w:rFonts w:hint="eastAsia" w:ascii="宋体" w:hAnsi="宋体" w:eastAsia="宋体" w:cs="宋体"/>
                <w:color w:val="000000" w:themeColor="text1"/>
                <w:kern w:val="0"/>
                <w:sz w:val="24"/>
                <w:szCs w:val="24"/>
                <w:highlight w:val="none"/>
                <w:lang w:val="en-US" w:eastAsia="zh-CN" w:bidi="ar"/>
                <w14:textFill>
                  <w14:solidFill>
                    <w14:schemeClr w14:val="tx1"/>
                  </w14:solidFill>
                </w14:textFill>
              </w:rPr>
              <w:t>增加。</w:t>
            </w:r>
          </w:p>
        </w:tc>
      </w:tr>
    </w:tbl>
    <w:p w14:paraId="0F289143">
      <w:pPr>
        <w:spacing w:line="360" w:lineRule="auto"/>
        <w:ind w:firstLine="480" w:firstLineChars="200"/>
        <w:contextualSpacing/>
        <w:rPr>
          <w:rFonts w:hint="eastAsia" w:ascii="Times New Roman" w:hAnsi="Times New Roman" w:eastAsia="宋体" w:cs="Times New Roman"/>
          <w:color w:val="000000" w:themeColor="text1"/>
          <w:sz w:val="24"/>
          <w:highlight w:val="none"/>
          <w14:textFill>
            <w14:solidFill>
              <w14:schemeClr w14:val="tx1"/>
            </w14:solidFill>
          </w14:textFill>
        </w:rPr>
      </w:pPr>
    </w:p>
    <w:p w14:paraId="32F2C5F4">
      <w:pPr>
        <w:spacing w:line="360" w:lineRule="auto"/>
        <w:ind w:firstLine="480" w:firstLineChars="200"/>
        <w:contextualSpacing/>
        <w:rPr>
          <w:rFonts w:ascii="Times New Roman" w:hAnsi="Times New Roman" w:eastAsia="宋体" w:cs="Times New Roman"/>
          <w:color w:val="000000" w:themeColor="text1"/>
          <w:sz w:val="24"/>
          <w:highlight w:val="none"/>
          <w14:textFill>
            <w14:solidFill>
              <w14:schemeClr w14:val="tx1"/>
            </w14:solidFill>
          </w14:textFill>
        </w:rPr>
      </w:pPr>
      <w:r>
        <w:rPr>
          <w:rFonts w:hint="eastAsia" w:ascii="Times New Roman" w:hAnsi="Times New Roman" w:eastAsia="宋体" w:cs="Times New Roman"/>
          <w:color w:val="000000" w:themeColor="text1"/>
          <w:sz w:val="24"/>
          <w:highlight w:val="none"/>
          <w14:textFill>
            <w14:solidFill>
              <w14:schemeClr w14:val="tx1"/>
            </w14:solidFill>
          </w14:textFill>
        </w:rPr>
        <w:t>3、政策战略需求</w:t>
      </w:r>
    </w:p>
    <w:p w14:paraId="6AFF9567">
      <w:pPr>
        <w:spacing w:line="360" w:lineRule="auto"/>
        <w:ind w:firstLine="480" w:firstLineChars="200"/>
        <w:rPr>
          <w:rFonts w:ascii="Times New Roman" w:hAnsi="Times New Roman" w:eastAsia="宋体" w:cs="Times New Roman"/>
          <w:color w:val="000000" w:themeColor="text1"/>
          <w:sz w:val="24"/>
          <w:highlight w:val="none"/>
          <w14:textFill>
            <w14:solidFill>
              <w14:schemeClr w14:val="tx1"/>
            </w14:solidFill>
          </w14:textFill>
        </w:rPr>
      </w:pPr>
      <w:r>
        <w:rPr>
          <w:rFonts w:hint="eastAsia" w:ascii="Times New Roman" w:hAnsi="Times New Roman" w:eastAsia="宋体" w:cs="Times New Roman"/>
          <w:color w:val="000000" w:themeColor="text1"/>
          <w:sz w:val="24"/>
          <w:highlight w:val="none"/>
          <w14:textFill>
            <w14:solidFill>
              <w14:schemeClr w14:val="tx1"/>
            </w14:solidFill>
          </w14:textFill>
        </w:rPr>
        <w:t>依据《动物卫生标准体系建设指南》、《“健康中国2030”规划纲要》、《国家中长期动物疫病防治规划》、《全国遏制动物源细菌耐药行动计划》等重大战略要求，聚焦抗微生物药物耐药性，关注食品安全与人类健康，制定本标准。</w:t>
      </w:r>
    </w:p>
    <w:p w14:paraId="0E4806A0">
      <w:pPr>
        <w:pStyle w:val="18"/>
        <w:spacing w:line="360" w:lineRule="auto"/>
        <w:ind w:firstLine="482"/>
        <w:rPr>
          <w:rFonts w:ascii="Times New Roman" w:hAnsi="Times New Roman" w:eastAsia="宋体" w:cs="Times New Roman"/>
          <w:b/>
          <w:color w:val="000000" w:themeColor="text1"/>
          <w:sz w:val="24"/>
          <w:highlight w:val="none"/>
          <w14:textFill>
            <w14:solidFill>
              <w14:schemeClr w14:val="tx1"/>
            </w14:solidFill>
          </w14:textFill>
        </w:rPr>
      </w:pPr>
      <w:r>
        <w:rPr>
          <w:rFonts w:ascii="Times New Roman" w:hAnsi="Times New Roman" w:eastAsia="宋体" w:cs="Times New Roman"/>
          <w:b/>
          <w:color w:val="000000" w:themeColor="text1"/>
          <w:sz w:val="24"/>
          <w:highlight w:val="none"/>
          <w14:textFill>
            <w14:solidFill>
              <w14:schemeClr w14:val="tx1"/>
            </w14:solidFill>
          </w14:textFill>
        </w:rPr>
        <w:t>（</w:t>
      </w:r>
      <w:r>
        <w:rPr>
          <w:rFonts w:hint="eastAsia" w:ascii="Times New Roman" w:hAnsi="Times New Roman" w:eastAsia="宋体" w:cs="Times New Roman"/>
          <w:b/>
          <w:color w:val="000000" w:themeColor="text1"/>
          <w:sz w:val="24"/>
          <w:highlight w:val="none"/>
          <w14:textFill>
            <w14:solidFill>
              <w14:schemeClr w14:val="tx1"/>
            </w14:solidFill>
          </w14:textFill>
        </w:rPr>
        <w:t>三</w:t>
      </w:r>
      <w:r>
        <w:rPr>
          <w:rFonts w:ascii="Times New Roman" w:hAnsi="Times New Roman" w:eastAsia="宋体" w:cs="Times New Roman"/>
          <w:b/>
          <w:color w:val="000000" w:themeColor="text1"/>
          <w:sz w:val="24"/>
          <w:highlight w:val="none"/>
          <w14:textFill>
            <w14:solidFill>
              <w14:schemeClr w14:val="tx1"/>
            </w14:solidFill>
          </w14:textFill>
        </w:rPr>
        <w:t>）标准编</w:t>
      </w:r>
      <w:r>
        <w:rPr>
          <w:rFonts w:hint="eastAsia" w:ascii="Times New Roman" w:hAnsi="Times New Roman" w:eastAsia="宋体" w:cs="Times New Roman"/>
          <w:b/>
          <w:color w:val="000000" w:themeColor="text1"/>
          <w:sz w:val="24"/>
          <w:highlight w:val="none"/>
          <w14:textFill>
            <w14:solidFill>
              <w14:schemeClr w14:val="tx1"/>
            </w14:solidFill>
          </w14:textFill>
        </w:rPr>
        <w:t>制</w:t>
      </w:r>
      <w:r>
        <w:rPr>
          <w:rFonts w:ascii="Times New Roman" w:hAnsi="Times New Roman" w:eastAsia="宋体" w:cs="Times New Roman"/>
          <w:b/>
          <w:color w:val="000000" w:themeColor="text1"/>
          <w:sz w:val="24"/>
          <w:highlight w:val="none"/>
          <w14:textFill>
            <w14:solidFill>
              <w14:schemeClr w14:val="tx1"/>
            </w14:solidFill>
          </w14:textFill>
        </w:rPr>
        <w:t>与现行的法律、法规及标准的关系</w:t>
      </w:r>
    </w:p>
    <w:p w14:paraId="07268C33">
      <w:pPr>
        <w:spacing w:line="360" w:lineRule="auto"/>
        <w:ind w:firstLine="480" w:firstLineChars="200"/>
        <w:contextualSpacing/>
        <w:rPr>
          <w:rFonts w:ascii="Times New Roman" w:hAnsi="Times New Roman" w:eastAsia="宋体" w:cs="Times New Roman"/>
          <w:color w:val="000000" w:themeColor="text1"/>
          <w:kern w:val="0"/>
          <w:sz w:val="24"/>
          <w:highlight w:val="none"/>
          <w14:textFill>
            <w14:solidFill>
              <w14:schemeClr w14:val="tx1"/>
            </w14:solidFill>
          </w14:textFill>
        </w:rPr>
      </w:pPr>
      <w:r>
        <w:rPr>
          <w:rFonts w:hint="eastAsia" w:ascii="Times New Roman" w:hAnsi="Times New Roman" w:eastAsia="宋体" w:cs="Times New Roman"/>
          <w:color w:val="000000" w:themeColor="text1"/>
          <w:sz w:val="24"/>
          <w:highlight w:val="none"/>
          <w14:textFill>
            <w14:solidFill>
              <w14:schemeClr w14:val="tx1"/>
            </w14:solidFill>
          </w14:textFill>
        </w:rPr>
        <w:t>1、</w:t>
      </w:r>
      <w:r>
        <w:rPr>
          <w:rFonts w:ascii="Times New Roman" w:hAnsi="Times New Roman" w:eastAsia="宋体" w:cs="Times New Roman"/>
          <w:color w:val="000000" w:themeColor="text1"/>
          <w:kern w:val="0"/>
          <w:sz w:val="24"/>
          <w:highlight w:val="none"/>
          <w14:textFill>
            <w14:solidFill>
              <w14:schemeClr w14:val="tx1"/>
            </w14:solidFill>
          </w14:textFill>
        </w:rPr>
        <w:t>标准制定遵循</w:t>
      </w:r>
      <w:r>
        <w:rPr>
          <w:rFonts w:hint="eastAsia" w:ascii="Times New Roman" w:hAnsi="Times New Roman" w:eastAsia="宋体" w:cs="Times New Roman"/>
          <w:color w:val="000000" w:themeColor="text1"/>
          <w:kern w:val="0"/>
          <w:sz w:val="24"/>
          <w:highlight w:val="none"/>
          <w14:textFill>
            <w14:solidFill>
              <w14:schemeClr w14:val="tx1"/>
            </w14:solidFill>
          </w14:textFill>
        </w:rPr>
        <w:t>《动物卫生标准体系建设指南》、</w:t>
      </w:r>
      <w:r>
        <w:rPr>
          <w:rFonts w:ascii="Times New Roman" w:hAnsi="Times New Roman" w:eastAsia="宋体" w:cs="Times New Roman"/>
          <w:color w:val="000000" w:themeColor="text1"/>
          <w:kern w:val="0"/>
          <w:sz w:val="24"/>
          <w:highlight w:val="none"/>
          <w14:textFill>
            <w14:solidFill>
              <w14:schemeClr w14:val="tx1"/>
            </w14:solidFill>
          </w14:textFill>
        </w:rPr>
        <w:t>《中华人民共和国兽药典》（2020年版）和《兽药临床试验质量管理规范》（中华人民共和国农业部第337号公告）、《兽用中药、天然药物临床试验技术指导原则》、《中药随机对照临床研究方案制定规范》（中华中医药学会.T/CACM 015.1-2017）、《</w:t>
      </w:r>
      <w:r>
        <w:rPr>
          <w:rFonts w:hint="eastAsia" w:ascii="Times New Roman" w:hAnsi="Times New Roman" w:eastAsia="宋体" w:cs="Times New Roman"/>
          <w:color w:val="000000" w:themeColor="text1"/>
          <w:kern w:val="0"/>
          <w:sz w:val="24"/>
          <w:highlight w:val="none"/>
          <w14:textFill>
            <w14:solidFill>
              <w14:schemeClr w14:val="tx1"/>
            </w14:solidFill>
          </w14:textFill>
        </w:rPr>
        <w:t>畜禽减抗养殖技术指南》、《</w:t>
      </w:r>
      <w:r>
        <w:rPr>
          <w:rFonts w:ascii="Times New Roman" w:hAnsi="Times New Roman" w:eastAsia="宋体" w:cs="Times New Roman"/>
          <w:color w:val="000000" w:themeColor="text1"/>
          <w:kern w:val="0"/>
          <w:sz w:val="24"/>
          <w:highlight w:val="none"/>
          <w14:textFill>
            <w14:solidFill>
              <w14:schemeClr w14:val="tx1"/>
            </w14:solidFill>
          </w14:textFill>
        </w:rPr>
        <w:t>循证中医药</w:t>
      </w:r>
      <w:r>
        <w:rPr>
          <w:rFonts w:hint="eastAsia" w:ascii="Times New Roman" w:hAnsi="Times New Roman" w:eastAsia="宋体" w:cs="Times New Roman"/>
          <w:color w:val="000000" w:themeColor="text1"/>
          <w:kern w:val="0"/>
          <w:sz w:val="24"/>
          <w:highlight w:val="none"/>
          <w14:textFill>
            <w14:solidFill>
              <w14:schemeClr w14:val="tx1"/>
            </w14:solidFill>
          </w14:textFill>
        </w:rPr>
        <w:t>临床</w:t>
      </w:r>
      <w:r>
        <w:rPr>
          <w:rFonts w:ascii="Times New Roman" w:hAnsi="Times New Roman" w:eastAsia="宋体" w:cs="Times New Roman"/>
          <w:color w:val="000000" w:themeColor="text1"/>
          <w:kern w:val="0"/>
          <w:sz w:val="24"/>
          <w:highlight w:val="none"/>
          <w14:textFill>
            <w14:solidFill>
              <w14:schemeClr w14:val="tx1"/>
            </w14:solidFill>
          </w14:textFill>
        </w:rPr>
        <w:t>研究方法》等相关法律、法规规定。</w:t>
      </w:r>
    </w:p>
    <w:p w14:paraId="1D30194B">
      <w:pPr>
        <w:spacing w:line="360" w:lineRule="auto"/>
        <w:ind w:firstLine="480" w:firstLineChars="200"/>
        <w:contextualSpacing/>
        <w:rPr>
          <w:rFonts w:hint="eastAsia" w:ascii="Times New Roman" w:hAnsi="Times New Roman" w:eastAsia="宋体" w:cs="Times New Roman"/>
          <w:color w:val="000000" w:themeColor="text1"/>
          <w:kern w:val="0"/>
          <w:sz w:val="24"/>
          <w:highlight w:val="none"/>
          <w14:textFill>
            <w14:solidFill>
              <w14:schemeClr w14:val="tx1"/>
            </w14:solidFill>
          </w14:textFill>
        </w:rPr>
      </w:pPr>
      <w:r>
        <w:rPr>
          <w:rFonts w:hint="eastAsia" w:ascii="Times New Roman" w:hAnsi="Times New Roman" w:eastAsia="宋体" w:cs="Times New Roman"/>
          <w:color w:val="000000" w:themeColor="text1"/>
          <w:kern w:val="0"/>
          <w:sz w:val="24"/>
          <w:highlight w:val="none"/>
          <w:lang w:val="en-US" w:eastAsia="zh-CN"/>
          <w14:textFill>
            <w14:solidFill>
              <w14:schemeClr w14:val="tx1"/>
            </w14:solidFill>
          </w14:textFill>
        </w:rPr>
        <w:t>2、</w:t>
      </w:r>
      <w:r>
        <w:rPr>
          <w:rFonts w:ascii="Times New Roman" w:hAnsi="Times New Roman" w:eastAsia="宋体" w:cs="Times New Roman"/>
          <w:color w:val="000000" w:themeColor="text1"/>
          <w:kern w:val="0"/>
          <w:sz w:val="24"/>
          <w:highlight w:val="none"/>
          <w14:textFill>
            <w14:solidFill>
              <w14:schemeClr w14:val="tx1"/>
            </w14:solidFill>
          </w14:textFill>
        </w:rPr>
        <w:t>本标准无</w:t>
      </w:r>
      <w:r>
        <w:rPr>
          <w:rFonts w:hint="eastAsia" w:ascii="Times New Roman" w:hAnsi="Times New Roman" w:eastAsia="宋体" w:cs="Times New Roman"/>
          <w:color w:val="000000" w:themeColor="text1"/>
          <w:kern w:val="0"/>
          <w:sz w:val="24"/>
          <w:highlight w:val="none"/>
          <w14:textFill>
            <w14:solidFill>
              <w14:schemeClr w14:val="tx1"/>
            </w14:solidFill>
          </w14:textFill>
        </w:rPr>
        <w:t>引用</w:t>
      </w:r>
      <w:r>
        <w:rPr>
          <w:rFonts w:ascii="Times New Roman" w:hAnsi="Times New Roman" w:eastAsia="宋体" w:cs="Times New Roman"/>
          <w:color w:val="000000" w:themeColor="text1"/>
          <w:kern w:val="0"/>
          <w:sz w:val="24"/>
          <w:highlight w:val="none"/>
          <w14:textFill>
            <w14:solidFill>
              <w14:schemeClr w14:val="tx1"/>
            </w14:solidFill>
          </w14:textFill>
        </w:rPr>
        <w:t>国内外、行业标准</w:t>
      </w:r>
      <w:r>
        <w:rPr>
          <w:rFonts w:hint="eastAsia" w:ascii="Times New Roman" w:hAnsi="Times New Roman" w:eastAsia="宋体" w:cs="Times New Roman"/>
          <w:color w:val="000000" w:themeColor="text1"/>
          <w:kern w:val="0"/>
          <w:sz w:val="24"/>
          <w:highlight w:val="none"/>
          <w14:textFill>
            <w14:solidFill>
              <w14:schemeClr w14:val="tx1"/>
            </w14:solidFill>
          </w14:textFill>
        </w:rPr>
        <w:t>和</w:t>
      </w:r>
      <w:r>
        <w:rPr>
          <w:rFonts w:ascii="Times New Roman" w:hAnsi="Times New Roman" w:eastAsia="宋体" w:cs="Times New Roman"/>
          <w:color w:val="000000" w:themeColor="text1"/>
          <w:kern w:val="0"/>
          <w:sz w:val="24"/>
          <w:highlight w:val="none"/>
          <w14:textFill>
            <w14:solidFill>
              <w14:schemeClr w14:val="tx1"/>
            </w14:solidFill>
          </w14:textFill>
        </w:rPr>
        <w:t>地方标准</w:t>
      </w:r>
      <w:r>
        <w:rPr>
          <w:rFonts w:hint="eastAsia" w:ascii="Times New Roman" w:hAnsi="Times New Roman" w:eastAsia="宋体" w:cs="Times New Roman"/>
          <w:color w:val="000000" w:themeColor="text1"/>
          <w:kern w:val="0"/>
          <w:sz w:val="24"/>
          <w:highlight w:val="none"/>
          <w14:textFill>
            <w14:solidFill>
              <w14:schemeClr w14:val="tx1"/>
            </w14:solidFill>
          </w14:textFill>
        </w:rPr>
        <w:t>。</w:t>
      </w:r>
    </w:p>
    <w:p w14:paraId="0A3BD44C">
      <w:pPr>
        <w:spacing w:line="360" w:lineRule="auto"/>
        <w:ind w:firstLine="480" w:firstLineChars="200"/>
        <w:contextualSpacing/>
        <w:rPr>
          <w:rFonts w:hint="eastAsia" w:ascii="Times New Roman" w:hAnsi="Times New Roman" w:eastAsia="宋体" w:cs="Times New Roman"/>
          <w:color w:val="000000" w:themeColor="text1"/>
          <w:kern w:val="0"/>
          <w:sz w:val="24"/>
          <w:highlight w:val="none"/>
          <w14:textFill>
            <w14:solidFill>
              <w14:schemeClr w14:val="tx1"/>
            </w14:solidFill>
          </w14:textFill>
        </w:rPr>
      </w:pPr>
      <w:r>
        <w:rPr>
          <w:rFonts w:hint="eastAsia" w:ascii="Times New Roman" w:hAnsi="Times New Roman" w:eastAsia="宋体" w:cs="Times New Roman"/>
          <w:color w:val="000000" w:themeColor="text1"/>
          <w:kern w:val="0"/>
          <w:sz w:val="24"/>
          <w:highlight w:val="none"/>
          <w14:textFill>
            <w14:solidFill>
              <w14:schemeClr w14:val="tx1"/>
            </w14:solidFill>
          </w14:textFill>
        </w:rPr>
        <w:t>本标准系对《宁夏奶牛球虫病诊断和防制技术规范》（</w:t>
      </w:r>
      <w:r>
        <w:rPr>
          <w:rFonts w:hint="eastAsia" w:ascii="Times New Roman" w:hAnsi="Times New Roman" w:eastAsia="宋体" w:cs="Times New Roman"/>
          <w:color w:val="000000" w:themeColor="text1"/>
          <w:kern w:val="0"/>
          <w:sz w:val="24"/>
          <w:highlight w:val="none"/>
          <w:lang w:val="en-US" w:eastAsia="zh-CN"/>
          <w14:textFill>
            <w14:solidFill>
              <w14:schemeClr w14:val="tx1"/>
            </w14:solidFill>
          </w14:textFill>
        </w:rPr>
        <w:t>DB/T1723-2020</w:t>
      </w:r>
      <w:r>
        <w:rPr>
          <w:rFonts w:hint="eastAsia" w:ascii="Times New Roman" w:hAnsi="Times New Roman" w:eastAsia="宋体" w:cs="Times New Roman"/>
          <w:color w:val="000000" w:themeColor="text1"/>
          <w:kern w:val="0"/>
          <w:sz w:val="24"/>
          <w:highlight w:val="none"/>
          <w14:textFill>
            <w14:solidFill>
              <w14:schemeClr w14:val="tx1"/>
            </w14:solidFill>
          </w14:textFill>
        </w:rPr>
        <w:t>）的修订。</w:t>
      </w:r>
    </w:p>
    <w:p w14:paraId="3EA81052">
      <w:pPr>
        <w:numPr>
          <w:ilvl w:val="0"/>
          <w:numId w:val="0"/>
        </w:numPr>
        <w:spacing w:line="360" w:lineRule="auto"/>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pPr>
      <w:r>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t>五、主要条款的说明，主要技术指标、参数、试验验证的论述</w:t>
      </w:r>
    </w:p>
    <w:p w14:paraId="47E8B009">
      <w:pPr>
        <w:numPr>
          <w:ilvl w:val="0"/>
          <w:numId w:val="0"/>
        </w:numPr>
        <w:spacing w:line="360" w:lineRule="auto"/>
        <w:ind w:firstLine="482" w:firstLineChars="200"/>
        <w:contextualSpacing/>
        <w:rPr>
          <w:rFonts w:hint="eastAsia" w:ascii="Times New Roman" w:hAnsi="Times New Roman" w:eastAsia="宋体" w:cs="Times New Roman"/>
          <w:b/>
          <w:color w:val="000000" w:themeColor="text1"/>
          <w:sz w:val="24"/>
          <w:highlight w:val="none"/>
          <w14:textFill>
            <w14:solidFill>
              <w14:schemeClr w14:val="tx1"/>
            </w14:solidFill>
          </w14:textFill>
        </w:rPr>
      </w:pPr>
      <w:r>
        <w:rPr>
          <w:rFonts w:hint="eastAsia" w:ascii="Times New Roman" w:hAnsi="Times New Roman" w:eastAsia="宋体" w:cs="Times New Roman"/>
          <w:b/>
          <w:color w:val="000000" w:themeColor="text1"/>
          <w:sz w:val="24"/>
          <w:highlight w:val="none"/>
          <w14:textFill>
            <w14:solidFill>
              <w14:schemeClr w14:val="tx1"/>
            </w14:solidFill>
          </w14:textFill>
        </w:rPr>
        <w:t>（一）标准主要内容</w:t>
      </w:r>
    </w:p>
    <w:p w14:paraId="36B08C63">
      <w:pPr>
        <w:spacing w:line="360" w:lineRule="auto"/>
        <w:ind w:firstLine="480" w:firstLineChars="200"/>
        <w:contextualSpacing/>
        <w:rPr>
          <w:rFonts w:hint="eastAsia" w:ascii="Times New Roman" w:hAnsi="Times New Roman" w:eastAsia="宋体" w:cs="Times New Roman"/>
          <w:color w:val="000000" w:themeColor="text1"/>
          <w:kern w:val="0"/>
          <w:sz w:val="24"/>
          <w:highlight w:val="none"/>
          <w14:textFill>
            <w14:solidFill>
              <w14:schemeClr w14:val="tx1"/>
            </w14:solidFill>
          </w14:textFill>
        </w:rPr>
      </w:pPr>
      <w:r>
        <w:rPr>
          <w:rFonts w:hint="eastAsia" w:ascii="Times New Roman" w:hAnsi="Times New Roman" w:eastAsia="宋体" w:cs="Times New Roman"/>
          <w:color w:val="000000" w:themeColor="text1"/>
          <w:kern w:val="0"/>
          <w:sz w:val="24"/>
          <w:highlight w:val="none"/>
          <w14:textFill>
            <w14:solidFill>
              <w14:schemeClr w14:val="tx1"/>
            </w14:solidFill>
          </w14:textFill>
        </w:rPr>
        <w:t>本文件的主要内容包括：范围，术语，定义，</w:t>
      </w:r>
      <w:r>
        <w:rPr>
          <w:rFonts w:hint="eastAsia" w:ascii="Times New Roman" w:hAnsi="Times New Roman" w:eastAsia="宋体" w:cs="Times New Roman"/>
          <w:color w:val="000000" w:themeColor="text1"/>
          <w:kern w:val="0"/>
          <w:sz w:val="24"/>
          <w:highlight w:val="none"/>
          <w:lang w:val="en-US" w:eastAsia="zh-CN"/>
          <w14:textFill>
            <w14:solidFill>
              <w14:schemeClr w14:val="tx1"/>
            </w14:solidFill>
          </w14:textFill>
        </w:rPr>
        <w:t>中兽药</w:t>
      </w:r>
      <w:r>
        <w:rPr>
          <w:rFonts w:hint="eastAsia" w:ascii="Times New Roman" w:hAnsi="Times New Roman" w:eastAsia="宋体" w:cs="Times New Roman"/>
          <w:color w:val="000000" w:themeColor="text1"/>
          <w:kern w:val="0"/>
          <w:sz w:val="24"/>
          <w:highlight w:val="none"/>
          <w14:textFill>
            <w14:solidFill>
              <w14:schemeClr w14:val="tx1"/>
            </w14:solidFill>
          </w14:textFill>
        </w:rPr>
        <w:t>病因、病机、流行特点、诊断、防制5部分内容，适用牛养殖场、动物疾病预防控制机构对奶、肉牛球虫病的防制</w:t>
      </w:r>
    </w:p>
    <w:p w14:paraId="60F04A65">
      <w:pPr>
        <w:spacing w:line="360" w:lineRule="auto"/>
        <w:ind w:firstLine="482" w:firstLineChars="200"/>
        <w:rPr>
          <w:rFonts w:hint="eastAsia" w:ascii="Times New Roman" w:hAnsi="Times New Roman" w:eastAsia="宋体" w:cs="Times New Roman"/>
          <w:color w:val="000000" w:themeColor="text1"/>
          <w:kern w:val="0"/>
          <w:sz w:val="24"/>
          <w:highlight w:val="none"/>
          <w14:textFill>
            <w14:solidFill>
              <w14:schemeClr w14:val="tx1"/>
            </w14:solidFill>
          </w14:textFill>
        </w:rPr>
      </w:pPr>
      <w:r>
        <w:rPr>
          <w:rFonts w:hint="eastAsia" w:ascii="Times New Roman" w:hAnsi="Times New Roman" w:eastAsia="宋体" w:cs="Times New Roman"/>
          <w:b/>
          <w:color w:val="000000" w:themeColor="text1"/>
          <w:kern w:val="2"/>
          <w:sz w:val="24"/>
          <w:szCs w:val="24"/>
          <w:highlight w:val="none"/>
          <w:lang w:val="en-US" w:eastAsia="zh-CN" w:bidi="ar-SA"/>
          <w14:textFill>
            <w14:solidFill>
              <w14:schemeClr w14:val="tx1"/>
            </w14:solidFill>
          </w14:textFill>
        </w:rPr>
        <w:t>（二）</w:t>
      </w:r>
      <w:r>
        <w:rPr>
          <w:rFonts w:ascii="Times New Roman" w:hAnsi="Times New Roman" w:eastAsia="宋体" w:cs="Times New Roman"/>
          <w:b/>
          <w:color w:val="000000" w:themeColor="text1"/>
          <w:sz w:val="24"/>
          <w:highlight w:val="none"/>
          <w14:textFill>
            <w14:solidFill>
              <w14:schemeClr w14:val="tx1"/>
            </w14:solidFill>
          </w14:textFill>
        </w:rPr>
        <w:t>标准</w:t>
      </w:r>
      <w:r>
        <w:rPr>
          <w:rFonts w:hint="eastAsia" w:ascii="Times New Roman" w:hAnsi="Times New Roman" w:eastAsia="宋体" w:cs="Times New Roman"/>
          <w:b/>
          <w:color w:val="000000" w:themeColor="text1"/>
          <w:sz w:val="24"/>
          <w:highlight w:val="none"/>
          <w14:textFill>
            <w14:solidFill>
              <w14:schemeClr w14:val="tx1"/>
            </w14:solidFill>
          </w14:textFill>
        </w:rPr>
        <w:t>主要</w:t>
      </w:r>
      <w:r>
        <w:rPr>
          <w:rFonts w:ascii="Times New Roman" w:hAnsi="Times New Roman" w:eastAsia="宋体" w:cs="Times New Roman"/>
          <w:b/>
          <w:color w:val="000000" w:themeColor="text1"/>
          <w:sz w:val="24"/>
          <w:highlight w:val="none"/>
          <w14:textFill>
            <w14:solidFill>
              <w14:schemeClr w14:val="tx1"/>
            </w14:solidFill>
          </w14:textFill>
        </w:rPr>
        <w:t>技术指标、参数</w:t>
      </w:r>
      <w:r>
        <w:rPr>
          <w:rFonts w:hint="eastAsia" w:ascii="Times New Roman" w:hAnsi="Times New Roman" w:eastAsia="宋体" w:cs="Times New Roman"/>
          <w:b/>
          <w:color w:val="000000" w:themeColor="text1"/>
          <w:sz w:val="24"/>
          <w:highlight w:val="none"/>
          <w14:textFill>
            <w14:solidFill>
              <w14:schemeClr w14:val="tx1"/>
            </w14:solidFill>
          </w14:textFill>
        </w:rPr>
        <w:t>和</w:t>
      </w:r>
      <w:r>
        <w:rPr>
          <w:rFonts w:ascii="Times New Roman" w:hAnsi="Times New Roman" w:eastAsia="宋体" w:cs="Times New Roman"/>
          <w:b/>
          <w:color w:val="000000" w:themeColor="text1"/>
          <w:sz w:val="24"/>
          <w:highlight w:val="none"/>
          <w14:textFill>
            <w14:solidFill>
              <w14:schemeClr w14:val="tx1"/>
            </w14:solidFill>
          </w14:textFill>
        </w:rPr>
        <w:t>试</w:t>
      </w:r>
      <w:r>
        <w:rPr>
          <w:rFonts w:hint="eastAsia" w:ascii="Times New Roman" w:hAnsi="Times New Roman" w:eastAsia="宋体" w:cs="Times New Roman"/>
          <w:b/>
          <w:color w:val="000000" w:themeColor="text1"/>
          <w:sz w:val="24"/>
          <w:highlight w:val="none"/>
          <w14:textFill>
            <w14:solidFill>
              <w14:schemeClr w14:val="tx1"/>
            </w14:solidFill>
          </w14:textFill>
        </w:rPr>
        <w:t>验</w:t>
      </w:r>
      <w:r>
        <w:rPr>
          <w:rFonts w:ascii="Times New Roman" w:hAnsi="Times New Roman" w:eastAsia="宋体" w:cs="Times New Roman"/>
          <w:b/>
          <w:color w:val="000000" w:themeColor="text1"/>
          <w:sz w:val="24"/>
          <w:highlight w:val="none"/>
          <w14:textFill>
            <w14:solidFill>
              <w14:schemeClr w14:val="tx1"/>
            </w14:solidFill>
          </w14:textFill>
        </w:rPr>
        <w:t>验证</w:t>
      </w:r>
    </w:p>
    <w:p w14:paraId="43FA61E6">
      <w:pPr>
        <w:spacing w:after="0" w:line="360" w:lineRule="auto"/>
        <w:ind w:firstLine="480" w:firstLineChars="200"/>
        <w:jc w:val="both"/>
        <w:outlineLvl w:val="3"/>
        <w:rPr>
          <w:rFonts w:hint="default" w:ascii="Times New Roman" w:hAnsi="Times New Roman" w:cs="Times New Roman" w:eastAsiaTheme="minorEastAsia"/>
          <w:b w:val="0"/>
          <w:bCs w:val="0"/>
          <w:color w:val="000000" w:themeColor="text1"/>
          <w:sz w:val="24"/>
          <w:szCs w:val="24"/>
          <w:highlight w:val="none"/>
          <w:lang w:val="en-US" w:eastAsia="zh-CN"/>
          <w14:textFill>
            <w14:solidFill>
              <w14:schemeClr w14:val="tx1"/>
            </w14:solidFill>
          </w14:textFill>
        </w:rPr>
      </w:pPr>
      <w:r>
        <w:rPr>
          <w:rFonts w:hint="eastAsia" w:ascii="Times New Roman" w:hAnsi="Times New Roman" w:cs="Times New Roman"/>
          <w:b w:val="0"/>
          <w:bCs w:val="0"/>
          <w:color w:val="000000" w:themeColor="text1"/>
          <w:sz w:val="24"/>
          <w:szCs w:val="24"/>
          <w:highlight w:val="none"/>
          <w:lang w:val="en-US" w:eastAsia="zh-CN"/>
          <w14:textFill>
            <w14:solidFill>
              <w14:schemeClr w14:val="tx1"/>
            </w14:solidFill>
          </w14:textFill>
        </w:rPr>
        <w:t>1、临床及病原诊断参数的确定</w:t>
      </w:r>
    </w:p>
    <w:p w14:paraId="5453F0A5">
      <w:pPr>
        <w:spacing w:after="0" w:line="360" w:lineRule="auto"/>
        <w:ind w:firstLine="480" w:firstLineChars="200"/>
        <w:jc w:val="both"/>
        <w:rPr>
          <w:rFonts w:hint="default" w:ascii="Times New Roman" w:hAnsi="Times New Roman"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牛只卵囊检测结果见表</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说明球虫的排泄规律与临床诊断没有必然联系。牛只粪便中卵囊的排泄量（OPG值）与临床症状之间缺乏一致性，单次或短期粪检并不能准确反映球虫感染的实际严重程度。长期腹泻和异食癖的病例在剖检中均表现出显著的肠道出血、肿胀等病理损伤，提示临床表现与肠道实质性损害更为相关。组织病理学和HE染色进一步证实，在多段肠道中均可检测到大量球虫裂殖体，尤其在严重腹泻个体的回盲部及回肠中更为密集。球虫感染的临床严重程度更依赖于肠道实际病理损伤及球虫裂殖体的组织负荷，而非仅由粪便卵囊排泄量所决定，提示在犊牛球虫病诊断中应结合临床症状、病理检查及组织学证据进行综合评估。</w:t>
      </w:r>
    </w:p>
    <w:p w14:paraId="59651C47">
      <w:pPr>
        <w:spacing w:after="0" w:line="360" w:lineRule="auto"/>
        <w:ind w:firstLine="480" w:firstLineChars="200"/>
        <w:jc w:val="both"/>
        <w:rPr>
          <w:rFonts w:hint="default"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循证分析50个牧场76场次球虫病发病规律，分析发现群体腹泻率多为8%-20%，感染率为3.7%-8.0%，异食癖现象增加时期通常为球虫病发病前兆。随着群体腹泻率增加，通常群体中呈现血便临床症状患牛占比</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5%</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以内，进行连续3次病原检测，至少1次阳性，虫种主要为邱氏、牛或亚球艾美耳球虫等单一或混合感染，有</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1</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个或多个样本</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OPG</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500</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，大部分样本</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OPG</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500</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，感染率为10%左右为隐性感染期。随着腹泻率增加至30%以上，甚至高达80%，且1个或多个样本OPG为1000以上，感染率为10%以上。</w:t>
      </w:r>
    </w:p>
    <w:p w14:paraId="53C4DF4E">
      <w:pPr>
        <w:widowControl w:val="0"/>
        <w:spacing w:after="0" w:line="240" w:lineRule="auto"/>
        <w:ind w:firstLine="420"/>
        <w:jc w:val="cente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表</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color w:val="000000" w:themeColor="text1"/>
          <w:sz w:val="24"/>
          <w:szCs w:val="24"/>
          <w:highlight w:val="none"/>
          <w14:textFill>
            <w14:solidFill>
              <w14:schemeClr w14:val="tx1"/>
            </w14:solidFill>
          </w14:textFill>
        </w:rPr>
        <w:t>牛只卵囊OPG值</w:t>
      </w:r>
    </w:p>
    <w:tbl>
      <w:tblPr>
        <w:tblStyle w:val="13"/>
        <w:tblW w:w="0" w:type="auto"/>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48"/>
        <w:gridCol w:w="1764"/>
        <w:gridCol w:w="2479"/>
        <w:gridCol w:w="1622"/>
        <w:gridCol w:w="1243"/>
      </w:tblGrid>
      <w:tr w14:paraId="182CB6F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jc w:val="center"/>
        </w:trPr>
        <w:tc>
          <w:tcPr>
            <w:tcW w:w="1148" w:type="dxa"/>
            <w:tcBorders>
              <w:bottom w:val="single" w:color="auto" w:sz="6" w:space="0"/>
            </w:tcBorders>
            <w:noWrap w:val="0"/>
            <w:vAlign w:val="top"/>
          </w:tcPr>
          <w:p w14:paraId="26AC82BC">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牛号</w:t>
            </w:r>
          </w:p>
        </w:tc>
        <w:tc>
          <w:tcPr>
            <w:tcW w:w="1764" w:type="dxa"/>
            <w:tcBorders>
              <w:bottom w:val="single" w:color="auto" w:sz="6" w:space="0"/>
            </w:tcBorders>
            <w:noWrap w:val="0"/>
            <w:vAlign w:val="top"/>
          </w:tcPr>
          <w:p w14:paraId="2169C139">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第一天OPG值</w:t>
            </w:r>
          </w:p>
        </w:tc>
        <w:tc>
          <w:tcPr>
            <w:tcW w:w="2479" w:type="dxa"/>
            <w:tcBorders>
              <w:bottom w:val="single" w:color="auto" w:sz="6" w:space="0"/>
            </w:tcBorders>
            <w:noWrap w:val="0"/>
            <w:vAlign w:val="top"/>
          </w:tcPr>
          <w:p w14:paraId="65ED23CD">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第一天粪便状态</w:t>
            </w:r>
          </w:p>
        </w:tc>
        <w:tc>
          <w:tcPr>
            <w:tcW w:w="1622" w:type="dxa"/>
            <w:tcBorders>
              <w:bottom w:val="single" w:color="auto" w:sz="6" w:space="0"/>
            </w:tcBorders>
            <w:noWrap w:val="0"/>
            <w:vAlign w:val="top"/>
          </w:tcPr>
          <w:p w14:paraId="25F53EC5">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第二天</w:t>
            </w:r>
          </w:p>
        </w:tc>
        <w:tc>
          <w:tcPr>
            <w:tcW w:w="1243" w:type="dxa"/>
            <w:tcBorders>
              <w:bottom w:val="single" w:color="auto" w:sz="6" w:space="0"/>
            </w:tcBorders>
            <w:noWrap w:val="0"/>
            <w:vAlign w:val="top"/>
          </w:tcPr>
          <w:p w14:paraId="62F79A4A">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第三天</w:t>
            </w:r>
          </w:p>
        </w:tc>
      </w:tr>
      <w:tr w14:paraId="7C3D1D3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7" w:hRule="atLeast"/>
          <w:jc w:val="center"/>
        </w:trPr>
        <w:tc>
          <w:tcPr>
            <w:tcW w:w="1148" w:type="dxa"/>
            <w:tcBorders>
              <w:top w:val="single" w:color="auto" w:sz="6" w:space="0"/>
              <w:tl2br w:val="nil"/>
              <w:tr2bl w:val="nil"/>
            </w:tcBorders>
            <w:noWrap w:val="0"/>
            <w:vAlign w:val="top"/>
          </w:tcPr>
          <w:p w14:paraId="3DD6E75E">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811560</w:t>
            </w:r>
          </w:p>
        </w:tc>
        <w:tc>
          <w:tcPr>
            <w:tcW w:w="1764" w:type="dxa"/>
            <w:tcBorders>
              <w:top w:val="single" w:color="auto" w:sz="6" w:space="0"/>
              <w:tl2br w:val="nil"/>
              <w:tr2bl w:val="nil"/>
            </w:tcBorders>
            <w:noWrap w:val="0"/>
            <w:vAlign w:val="top"/>
          </w:tcPr>
          <w:p w14:paraId="6EDE091E">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63700</w:t>
            </w:r>
          </w:p>
        </w:tc>
        <w:tc>
          <w:tcPr>
            <w:tcW w:w="2479" w:type="dxa"/>
            <w:tcBorders>
              <w:top w:val="single" w:color="auto" w:sz="6" w:space="0"/>
              <w:tl2br w:val="nil"/>
              <w:tr2bl w:val="nil"/>
            </w:tcBorders>
            <w:noWrap w:val="0"/>
            <w:vAlign w:val="top"/>
          </w:tcPr>
          <w:p w14:paraId="2D70C4B1">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水样 血便</w:t>
            </w:r>
          </w:p>
        </w:tc>
        <w:tc>
          <w:tcPr>
            <w:tcW w:w="1622" w:type="dxa"/>
            <w:tcBorders>
              <w:top w:val="single" w:color="auto" w:sz="6" w:space="0"/>
              <w:tl2br w:val="nil"/>
              <w:tr2bl w:val="nil"/>
            </w:tcBorders>
            <w:noWrap w:val="0"/>
            <w:vAlign w:val="top"/>
          </w:tcPr>
          <w:p w14:paraId="205F51AA">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8100</w:t>
            </w:r>
          </w:p>
        </w:tc>
        <w:tc>
          <w:tcPr>
            <w:tcW w:w="1243" w:type="dxa"/>
            <w:tcBorders>
              <w:top w:val="single" w:color="auto" w:sz="6" w:space="0"/>
              <w:tl2br w:val="nil"/>
              <w:tr2bl w:val="nil"/>
            </w:tcBorders>
            <w:noWrap w:val="0"/>
            <w:vAlign w:val="top"/>
          </w:tcPr>
          <w:p w14:paraId="3F9F3041">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解剖</w:t>
            </w:r>
          </w:p>
        </w:tc>
      </w:tr>
      <w:tr w14:paraId="24F4115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jc w:val="center"/>
        </w:trPr>
        <w:tc>
          <w:tcPr>
            <w:tcW w:w="1148" w:type="dxa"/>
            <w:tcBorders>
              <w:tl2br w:val="nil"/>
              <w:tr2bl w:val="nil"/>
            </w:tcBorders>
            <w:noWrap w:val="0"/>
            <w:vAlign w:val="top"/>
          </w:tcPr>
          <w:p w14:paraId="6B1EB89E">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11478</w:t>
            </w:r>
          </w:p>
        </w:tc>
        <w:tc>
          <w:tcPr>
            <w:tcW w:w="1764" w:type="dxa"/>
            <w:tcBorders>
              <w:tl2br w:val="nil"/>
              <w:tr2bl w:val="nil"/>
            </w:tcBorders>
            <w:noWrap w:val="0"/>
            <w:vAlign w:val="top"/>
          </w:tcPr>
          <w:p w14:paraId="021A8930">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6500</w:t>
            </w:r>
          </w:p>
        </w:tc>
        <w:tc>
          <w:tcPr>
            <w:tcW w:w="2479" w:type="dxa"/>
            <w:tcBorders>
              <w:tl2br w:val="nil"/>
              <w:tr2bl w:val="nil"/>
            </w:tcBorders>
            <w:noWrap w:val="0"/>
            <w:vAlign w:val="top"/>
          </w:tcPr>
          <w:p w14:paraId="7F7C580A">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水样</w:t>
            </w:r>
          </w:p>
        </w:tc>
        <w:tc>
          <w:tcPr>
            <w:tcW w:w="1622" w:type="dxa"/>
            <w:tcBorders>
              <w:tl2br w:val="nil"/>
              <w:tr2bl w:val="nil"/>
            </w:tcBorders>
            <w:noWrap w:val="0"/>
            <w:vAlign w:val="top"/>
          </w:tcPr>
          <w:p w14:paraId="5224AF99">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4100</w:t>
            </w:r>
          </w:p>
        </w:tc>
        <w:tc>
          <w:tcPr>
            <w:tcW w:w="1243" w:type="dxa"/>
            <w:tcBorders>
              <w:tl2br w:val="nil"/>
              <w:tr2bl w:val="nil"/>
            </w:tcBorders>
            <w:noWrap w:val="0"/>
            <w:vAlign w:val="top"/>
          </w:tcPr>
          <w:p w14:paraId="72466791">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解剖</w:t>
            </w:r>
          </w:p>
        </w:tc>
      </w:tr>
      <w:tr w14:paraId="3197BEC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jc w:val="center"/>
        </w:trPr>
        <w:tc>
          <w:tcPr>
            <w:tcW w:w="1148" w:type="dxa"/>
            <w:tcBorders>
              <w:tl2br w:val="nil"/>
              <w:tr2bl w:val="nil"/>
            </w:tcBorders>
            <w:noWrap w:val="0"/>
            <w:vAlign w:val="top"/>
          </w:tcPr>
          <w:p w14:paraId="077178B0">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240905</w:t>
            </w:r>
          </w:p>
        </w:tc>
        <w:tc>
          <w:tcPr>
            <w:tcW w:w="1764" w:type="dxa"/>
            <w:tcBorders>
              <w:tl2br w:val="nil"/>
              <w:tr2bl w:val="nil"/>
            </w:tcBorders>
            <w:noWrap w:val="0"/>
            <w:vAlign w:val="top"/>
          </w:tcPr>
          <w:p w14:paraId="021F2E94">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5000</w:t>
            </w:r>
          </w:p>
        </w:tc>
        <w:tc>
          <w:tcPr>
            <w:tcW w:w="2479" w:type="dxa"/>
            <w:tcBorders>
              <w:tl2br w:val="nil"/>
              <w:tr2bl w:val="nil"/>
            </w:tcBorders>
            <w:noWrap w:val="0"/>
            <w:vAlign w:val="top"/>
          </w:tcPr>
          <w:p w14:paraId="17D3FB77">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黄绿色稀粥样便</w:t>
            </w:r>
          </w:p>
        </w:tc>
        <w:tc>
          <w:tcPr>
            <w:tcW w:w="1622" w:type="dxa"/>
            <w:tcBorders>
              <w:tl2br w:val="nil"/>
              <w:tr2bl w:val="nil"/>
            </w:tcBorders>
            <w:noWrap w:val="0"/>
            <w:vAlign w:val="top"/>
          </w:tcPr>
          <w:p w14:paraId="2CD25E91">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500</w:t>
            </w:r>
          </w:p>
        </w:tc>
        <w:tc>
          <w:tcPr>
            <w:tcW w:w="1243" w:type="dxa"/>
            <w:tcBorders>
              <w:tl2br w:val="nil"/>
              <w:tr2bl w:val="nil"/>
            </w:tcBorders>
            <w:noWrap w:val="0"/>
            <w:vAlign w:val="top"/>
          </w:tcPr>
          <w:p w14:paraId="0C9A69A9">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解剖</w:t>
            </w:r>
          </w:p>
        </w:tc>
      </w:tr>
      <w:tr w14:paraId="06EE103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jc w:val="center"/>
        </w:trPr>
        <w:tc>
          <w:tcPr>
            <w:tcW w:w="1148" w:type="dxa"/>
            <w:tcBorders>
              <w:tl2br w:val="nil"/>
              <w:tr2bl w:val="nil"/>
            </w:tcBorders>
            <w:noWrap w:val="0"/>
            <w:vAlign w:val="top"/>
          </w:tcPr>
          <w:p w14:paraId="3A316FDF">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240955</w:t>
            </w:r>
          </w:p>
        </w:tc>
        <w:tc>
          <w:tcPr>
            <w:tcW w:w="1764" w:type="dxa"/>
            <w:tcBorders>
              <w:tl2br w:val="nil"/>
              <w:tr2bl w:val="nil"/>
            </w:tcBorders>
            <w:noWrap w:val="0"/>
            <w:vAlign w:val="top"/>
          </w:tcPr>
          <w:p w14:paraId="5CB9680F">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1300</w:t>
            </w:r>
          </w:p>
        </w:tc>
        <w:tc>
          <w:tcPr>
            <w:tcW w:w="2479" w:type="dxa"/>
            <w:tcBorders>
              <w:tl2br w:val="nil"/>
              <w:tr2bl w:val="nil"/>
            </w:tcBorders>
            <w:noWrap w:val="0"/>
            <w:vAlign w:val="top"/>
          </w:tcPr>
          <w:p w14:paraId="3D90F4E3">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黄绿色稀粥样便</w:t>
            </w:r>
          </w:p>
        </w:tc>
        <w:tc>
          <w:tcPr>
            <w:tcW w:w="1622" w:type="dxa"/>
            <w:tcBorders>
              <w:tl2br w:val="nil"/>
              <w:tr2bl w:val="nil"/>
            </w:tcBorders>
            <w:noWrap w:val="0"/>
            <w:vAlign w:val="top"/>
          </w:tcPr>
          <w:p w14:paraId="7E0B87C9">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0</w:t>
            </w:r>
          </w:p>
        </w:tc>
        <w:tc>
          <w:tcPr>
            <w:tcW w:w="1243" w:type="dxa"/>
            <w:tcBorders>
              <w:tl2br w:val="nil"/>
              <w:tr2bl w:val="nil"/>
            </w:tcBorders>
            <w:noWrap w:val="0"/>
            <w:vAlign w:val="top"/>
          </w:tcPr>
          <w:p w14:paraId="50396C23">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解剖</w:t>
            </w:r>
          </w:p>
        </w:tc>
      </w:tr>
      <w:tr w14:paraId="2E81ABA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jc w:val="center"/>
        </w:trPr>
        <w:tc>
          <w:tcPr>
            <w:tcW w:w="1148" w:type="dxa"/>
            <w:tcBorders>
              <w:tl2br w:val="nil"/>
              <w:tr2bl w:val="nil"/>
            </w:tcBorders>
            <w:noWrap w:val="0"/>
            <w:vAlign w:val="top"/>
          </w:tcPr>
          <w:p w14:paraId="43AA79A6">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24044</w:t>
            </w:r>
          </w:p>
        </w:tc>
        <w:tc>
          <w:tcPr>
            <w:tcW w:w="1764" w:type="dxa"/>
            <w:tcBorders>
              <w:tl2br w:val="nil"/>
              <w:tr2bl w:val="nil"/>
            </w:tcBorders>
            <w:noWrap w:val="0"/>
            <w:vAlign w:val="top"/>
          </w:tcPr>
          <w:p w14:paraId="4B0B7016">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0</w:t>
            </w:r>
          </w:p>
        </w:tc>
        <w:tc>
          <w:tcPr>
            <w:tcW w:w="2479" w:type="dxa"/>
            <w:tcBorders>
              <w:tl2br w:val="nil"/>
              <w:tr2bl w:val="nil"/>
            </w:tcBorders>
            <w:noWrap w:val="0"/>
            <w:vAlign w:val="top"/>
          </w:tcPr>
          <w:p w14:paraId="2304E345">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健康</w:t>
            </w:r>
          </w:p>
        </w:tc>
        <w:tc>
          <w:tcPr>
            <w:tcW w:w="1622" w:type="dxa"/>
            <w:tcBorders>
              <w:tl2br w:val="nil"/>
              <w:tr2bl w:val="nil"/>
            </w:tcBorders>
            <w:noWrap w:val="0"/>
            <w:vAlign w:val="top"/>
          </w:tcPr>
          <w:p w14:paraId="47E16E22">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0</w:t>
            </w:r>
          </w:p>
        </w:tc>
        <w:tc>
          <w:tcPr>
            <w:tcW w:w="1243" w:type="dxa"/>
            <w:tcBorders>
              <w:tl2br w:val="nil"/>
              <w:tr2bl w:val="nil"/>
            </w:tcBorders>
            <w:noWrap w:val="0"/>
            <w:vAlign w:val="top"/>
          </w:tcPr>
          <w:p w14:paraId="2C7E9F19">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解剖</w:t>
            </w:r>
          </w:p>
        </w:tc>
      </w:tr>
      <w:tr w14:paraId="3DA6D60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7" w:hRule="atLeast"/>
          <w:jc w:val="center"/>
        </w:trPr>
        <w:tc>
          <w:tcPr>
            <w:tcW w:w="1148" w:type="dxa"/>
            <w:tcBorders>
              <w:tl2br w:val="nil"/>
              <w:tr2bl w:val="nil"/>
            </w:tcBorders>
            <w:noWrap w:val="0"/>
            <w:vAlign w:val="top"/>
          </w:tcPr>
          <w:p w14:paraId="0C15F72B">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811604</w:t>
            </w:r>
          </w:p>
        </w:tc>
        <w:tc>
          <w:tcPr>
            <w:tcW w:w="1764" w:type="dxa"/>
            <w:tcBorders>
              <w:tl2br w:val="nil"/>
              <w:tr2bl w:val="nil"/>
            </w:tcBorders>
            <w:noWrap w:val="0"/>
            <w:vAlign w:val="top"/>
          </w:tcPr>
          <w:p w14:paraId="59467F17">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174300</w:t>
            </w:r>
          </w:p>
          <w:p w14:paraId="6F407773">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p>
        </w:tc>
        <w:tc>
          <w:tcPr>
            <w:tcW w:w="2479" w:type="dxa"/>
            <w:tcBorders>
              <w:tl2br w:val="nil"/>
              <w:tr2bl w:val="nil"/>
            </w:tcBorders>
            <w:noWrap w:val="0"/>
            <w:vAlign w:val="top"/>
          </w:tcPr>
          <w:p w14:paraId="02B8025C">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水样 血便</w:t>
            </w:r>
          </w:p>
          <w:p w14:paraId="24710D5E">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p>
        </w:tc>
        <w:tc>
          <w:tcPr>
            <w:tcW w:w="1622" w:type="dxa"/>
            <w:tcBorders>
              <w:tl2br w:val="nil"/>
              <w:tr2bl w:val="nil"/>
            </w:tcBorders>
            <w:noWrap w:val="0"/>
            <w:vAlign w:val="top"/>
          </w:tcPr>
          <w:p w14:paraId="55BCC179">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4400（上午）</w:t>
            </w:r>
          </w:p>
          <w:p w14:paraId="73117F2E">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14500（下午）</w:t>
            </w:r>
          </w:p>
        </w:tc>
        <w:tc>
          <w:tcPr>
            <w:tcW w:w="1243" w:type="dxa"/>
            <w:tcBorders>
              <w:tl2br w:val="nil"/>
              <w:tr2bl w:val="nil"/>
            </w:tcBorders>
            <w:noWrap w:val="0"/>
            <w:vAlign w:val="top"/>
          </w:tcPr>
          <w:p w14:paraId="5641DB24">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解剖</w:t>
            </w:r>
          </w:p>
        </w:tc>
      </w:tr>
      <w:tr w14:paraId="44CD604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3" w:hRule="atLeast"/>
          <w:jc w:val="center"/>
        </w:trPr>
        <w:tc>
          <w:tcPr>
            <w:tcW w:w="1148" w:type="dxa"/>
            <w:tcBorders>
              <w:tl2br w:val="nil"/>
              <w:tr2bl w:val="nil"/>
            </w:tcBorders>
            <w:noWrap w:val="0"/>
            <w:vAlign w:val="top"/>
          </w:tcPr>
          <w:p w14:paraId="31F1DAE0">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811622</w:t>
            </w:r>
          </w:p>
        </w:tc>
        <w:tc>
          <w:tcPr>
            <w:tcW w:w="1764" w:type="dxa"/>
            <w:tcBorders>
              <w:tl2br w:val="nil"/>
              <w:tr2bl w:val="nil"/>
            </w:tcBorders>
            <w:noWrap w:val="0"/>
            <w:vAlign w:val="top"/>
          </w:tcPr>
          <w:p w14:paraId="13F63388">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23600</w:t>
            </w:r>
          </w:p>
        </w:tc>
        <w:tc>
          <w:tcPr>
            <w:tcW w:w="2479" w:type="dxa"/>
            <w:tcBorders>
              <w:tl2br w:val="nil"/>
              <w:tr2bl w:val="nil"/>
            </w:tcBorders>
            <w:noWrap w:val="0"/>
            <w:vAlign w:val="top"/>
          </w:tcPr>
          <w:p w14:paraId="6DF91457">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水样 血便</w:t>
            </w:r>
          </w:p>
          <w:p w14:paraId="48DEB5CF">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p>
        </w:tc>
        <w:tc>
          <w:tcPr>
            <w:tcW w:w="1622" w:type="dxa"/>
            <w:tcBorders>
              <w:tl2br w:val="nil"/>
              <w:tr2bl w:val="nil"/>
            </w:tcBorders>
            <w:noWrap w:val="0"/>
            <w:vAlign w:val="top"/>
          </w:tcPr>
          <w:p w14:paraId="1F6C8E8F">
            <w:pPr>
              <w:keepNext w:val="0"/>
              <w:keepLines w:val="0"/>
              <w:widowControl w:val="0"/>
              <w:suppressLineNumbers w:val="0"/>
              <w:spacing w:before="0" w:beforeAutospacing="0" w:after="0" w:afterAutospacing="0" w:line="240" w:lineRule="auto"/>
              <w:ind w:left="0" w:right="0"/>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500（上午）5800（下午）</w:t>
            </w:r>
          </w:p>
        </w:tc>
        <w:tc>
          <w:tcPr>
            <w:tcW w:w="1243" w:type="dxa"/>
            <w:tcBorders>
              <w:tl2br w:val="nil"/>
              <w:tr2bl w:val="nil"/>
            </w:tcBorders>
            <w:noWrap w:val="0"/>
            <w:vAlign w:val="top"/>
          </w:tcPr>
          <w:p w14:paraId="02A883C7">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解剖</w:t>
            </w:r>
          </w:p>
        </w:tc>
      </w:tr>
    </w:tbl>
    <w:tbl>
      <w:tblPr>
        <w:tblStyle w:val="13"/>
        <w:tblpPr w:leftFromText="180" w:rightFromText="180" w:vertAnchor="text" w:horzAnchor="page" w:tblpX="1678" w:tblpY="934"/>
        <w:tblOverlap w:val="never"/>
        <w:tblW w:w="9576" w:type="dxa"/>
        <w:tblInd w:w="0" w:type="dxa"/>
        <w:tblLayout w:type="autofit"/>
        <w:tblCellMar>
          <w:top w:w="0" w:type="dxa"/>
          <w:left w:w="108" w:type="dxa"/>
          <w:bottom w:w="0" w:type="dxa"/>
          <w:right w:w="108" w:type="dxa"/>
        </w:tblCellMar>
      </w:tblPr>
      <w:tblGrid>
        <w:gridCol w:w="4867"/>
        <w:gridCol w:w="4487"/>
        <w:gridCol w:w="222"/>
      </w:tblGrid>
      <w:tr w14:paraId="208E36A8">
        <w:tblPrEx>
          <w:tblCellMar>
            <w:top w:w="0" w:type="dxa"/>
            <w:left w:w="108" w:type="dxa"/>
            <w:bottom w:w="0" w:type="dxa"/>
            <w:right w:w="108" w:type="dxa"/>
          </w:tblCellMar>
        </w:tblPrEx>
        <w:trPr>
          <w:trHeight w:val="232" w:hRule="atLeast"/>
        </w:trPr>
        <w:tc>
          <w:tcPr>
            <w:tcW w:w="9576" w:type="dxa"/>
            <w:gridSpan w:val="3"/>
            <w:noWrap w:val="0"/>
            <w:vAlign w:val="top"/>
          </w:tcPr>
          <w:p w14:paraId="3ED987D1">
            <w:pPr>
              <w:keepNext w:val="0"/>
              <w:keepLines w:val="0"/>
              <w:widowControl w:val="0"/>
              <w:suppressLineNumbers w:val="0"/>
              <w:spacing w:before="0" w:beforeAutospacing="0" w:after="0" w:afterAutospacing="0" w:line="240" w:lineRule="auto"/>
              <w:ind w:left="0" w:right="0" w:firstLine="630" w:firstLineChars="30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p>
        </w:tc>
      </w:tr>
      <w:tr w14:paraId="1A71A2C4">
        <w:tblPrEx>
          <w:tblCellMar>
            <w:top w:w="0" w:type="dxa"/>
            <w:left w:w="108" w:type="dxa"/>
            <w:bottom w:w="0" w:type="dxa"/>
            <w:right w:w="108" w:type="dxa"/>
          </w:tblCellMar>
        </w:tblPrEx>
        <w:trPr>
          <w:trHeight w:val="1938" w:hRule="atLeast"/>
        </w:trPr>
        <w:tc>
          <w:tcPr>
            <w:tcW w:w="4867" w:type="dxa"/>
            <w:noWrap w:val="0"/>
            <w:vAlign w:val="top"/>
          </w:tcPr>
          <w:p w14:paraId="269F5A6C">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drawing>
                <wp:inline distT="0" distB="0" distL="114300" distR="114300">
                  <wp:extent cx="2552065" cy="1447800"/>
                  <wp:effectExtent l="0" t="0" r="635" b="0"/>
                  <wp:docPr id="6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6"/>
                          <pic:cNvPicPr>
                            <a:picLocks noChangeAspect="1"/>
                          </pic:cNvPicPr>
                        </pic:nvPicPr>
                        <pic:blipFill>
                          <a:blip r:embed="rId6"/>
                          <a:stretch>
                            <a:fillRect/>
                          </a:stretch>
                        </pic:blipFill>
                        <pic:spPr>
                          <a:xfrm>
                            <a:off x="0" y="0"/>
                            <a:ext cx="2552065" cy="1447800"/>
                          </a:xfrm>
                          <a:prstGeom prst="rect">
                            <a:avLst/>
                          </a:prstGeom>
                          <a:noFill/>
                          <a:ln>
                            <a:noFill/>
                          </a:ln>
                        </pic:spPr>
                      </pic:pic>
                    </a:graphicData>
                  </a:graphic>
                </wp:inline>
              </w:drawing>
            </w:r>
          </w:p>
        </w:tc>
        <w:tc>
          <w:tcPr>
            <w:tcW w:w="4487" w:type="dxa"/>
            <w:noWrap w:val="0"/>
            <w:vAlign w:val="top"/>
          </w:tcPr>
          <w:p w14:paraId="26B9D3A1">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drawing>
                <wp:inline distT="0" distB="0" distL="114300" distR="114300">
                  <wp:extent cx="2388235" cy="1394460"/>
                  <wp:effectExtent l="0" t="0" r="12065" b="2540"/>
                  <wp:docPr id="6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7"/>
                          <pic:cNvPicPr>
                            <a:picLocks noChangeAspect="1"/>
                          </pic:cNvPicPr>
                        </pic:nvPicPr>
                        <pic:blipFill>
                          <a:blip r:embed="rId7"/>
                          <a:stretch>
                            <a:fillRect/>
                          </a:stretch>
                        </pic:blipFill>
                        <pic:spPr>
                          <a:xfrm>
                            <a:off x="0" y="0"/>
                            <a:ext cx="2388235" cy="1394460"/>
                          </a:xfrm>
                          <a:prstGeom prst="rect">
                            <a:avLst/>
                          </a:prstGeom>
                          <a:noFill/>
                          <a:ln>
                            <a:noFill/>
                          </a:ln>
                        </pic:spPr>
                      </pic:pic>
                    </a:graphicData>
                  </a:graphic>
                </wp:inline>
              </w:drawing>
            </w:r>
          </w:p>
        </w:tc>
        <w:tc>
          <w:tcPr>
            <w:tcW w:w="222" w:type="dxa"/>
            <w:noWrap w:val="0"/>
            <w:vAlign w:val="top"/>
          </w:tcPr>
          <w:p w14:paraId="1CAC1C11">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p>
        </w:tc>
      </w:tr>
      <w:tr w14:paraId="606B4FC9">
        <w:tblPrEx>
          <w:tblCellMar>
            <w:top w:w="0" w:type="dxa"/>
            <w:left w:w="108" w:type="dxa"/>
            <w:bottom w:w="0" w:type="dxa"/>
            <w:right w:w="108" w:type="dxa"/>
          </w:tblCellMar>
        </w:tblPrEx>
        <w:trPr>
          <w:trHeight w:val="1955" w:hRule="atLeast"/>
        </w:trPr>
        <w:tc>
          <w:tcPr>
            <w:tcW w:w="4867" w:type="dxa"/>
            <w:noWrap w:val="0"/>
            <w:vAlign w:val="top"/>
          </w:tcPr>
          <w:p w14:paraId="06FD1AE7">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drawing>
                <wp:inline distT="0" distB="0" distL="114300" distR="114300">
                  <wp:extent cx="2465070" cy="1398905"/>
                  <wp:effectExtent l="0" t="0" r="11430" b="10795"/>
                  <wp:docPr id="6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8"/>
                          <pic:cNvPicPr>
                            <a:picLocks noChangeAspect="1"/>
                          </pic:cNvPicPr>
                        </pic:nvPicPr>
                        <pic:blipFill>
                          <a:blip r:embed="rId8"/>
                          <a:stretch>
                            <a:fillRect/>
                          </a:stretch>
                        </pic:blipFill>
                        <pic:spPr>
                          <a:xfrm>
                            <a:off x="0" y="0"/>
                            <a:ext cx="2465070" cy="1398905"/>
                          </a:xfrm>
                          <a:prstGeom prst="rect">
                            <a:avLst/>
                          </a:prstGeom>
                          <a:noFill/>
                          <a:ln>
                            <a:noFill/>
                          </a:ln>
                        </pic:spPr>
                      </pic:pic>
                    </a:graphicData>
                  </a:graphic>
                </wp:inline>
              </w:drawing>
            </w:r>
          </w:p>
        </w:tc>
        <w:tc>
          <w:tcPr>
            <w:tcW w:w="4487" w:type="dxa"/>
            <w:noWrap w:val="0"/>
            <w:vAlign w:val="top"/>
          </w:tcPr>
          <w:p w14:paraId="178023DA">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drawing>
                <wp:inline distT="0" distB="0" distL="114300" distR="114300">
                  <wp:extent cx="2499360" cy="1457325"/>
                  <wp:effectExtent l="0" t="0" r="2540" b="3175"/>
                  <wp:docPr id="6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9"/>
                          <pic:cNvPicPr>
                            <a:picLocks noChangeAspect="1"/>
                          </pic:cNvPicPr>
                        </pic:nvPicPr>
                        <pic:blipFill>
                          <a:blip r:embed="rId9"/>
                          <a:stretch>
                            <a:fillRect/>
                          </a:stretch>
                        </pic:blipFill>
                        <pic:spPr>
                          <a:xfrm>
                            <a:off x="0" y="0"/>
                            <a:ext cx="2499360" cy="1457325"/>
                          </a:xfrm>
                          <a:prstGeom prst="rect">
                            <a:avLst/>
                          </a:prstGeom>
                          <a:noFill/>
                          <a:ln>
                            <a:noFill/>
                          </a:ln>
                        </pic:spPr>
                      </pic:pic>
                    </a:graphicData>
                  </a:graphic>
                </wp:inline>
              </w:drawing>
            </w:r>
          </w:p>
        </w:tc>
        <w:tc>
          <w:tcPr>
            <w:tcW w:w="222" w:type="dxa"/>
            <w:noWrap w:val="0"/>
            <w:vAlign w:val="top"/>
          </w:tcPr>
          <w:p w14:paraId="5F2FB2EE">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p>
        </w:tc>
      </w:tr>
      <w:tr w14:paraId="2B6733F0">
        <w:tblPrEx>
          <w:tblCellMar>
            <w:top w:w="0" w:type="dxa"/>
            <w:left w:w="108" w:type="dxa"/>
            <w:bottom w:w="0" w:type="dxa"/>
            <w:right w:w="108" w:type="dxa"/>
          </w:tblCellMar>
        </w:tblPrEx>
        <w:trPr>
          <w:trHeight w:val="205" w:hRule="atLeast"/>
        </w:trPr>
        <w:tc>
          <w:tcPr>
            <w:tcW w:w="4867" w:type="dxa"/>
            <w:noWrap w:val="0"/>
            <w:vAlign w:val="top"/>
          </w:tcPr>
          <w:p w14:paraId="5A2372F5">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B-1</w:t>
            </w:r>
          </w:p>
        </w:tc>
        <w:tc>
          <w:tcPr>
            <w:tcW w:w="4487" w:type="dxa"/>
            <w:noWrap w:val="0"/>
            <w:vAlign w:val="top"/>
          </w:tcPr>
          <w:p w14:paraId="187C8106">
            <w:pPr>
              <w:keepNext w:val="0"/>
              <w:keepLines w:val="0"/>
              <w:widowControl w:val="0"/>
              <w:suppressLineNumbers w:val="0"/>
              <w:spacing w:before="0" w:beforeAutospacing="0" w:after="0" w:afterAutospacing="0" w:line="240" w:lineRule="auto"/>
              <w:ind w:left="0" w:right="0"/>
              <w:jc w:val="left"/>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B-2</w:t>
            </w:r>
          </w:p>
        </w:tc>
        <w:tc>
          <w:tcPr>
            <w:tcW w:w="222" w:type="dxa"/>
            <w:noWrap w:val="0"/>
            <w:vAlign w:val="top"/>
          </w:tcPr>
          <w:p w14:paraId="7C32F78E">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p>
        </w:tc>
      </w:tr>
      <w:tr w14:paraId="1A1422FD">
        <w:tblPrEx>
          <w:tblCellMar>
            <w:top w:w="0" w:type="dxa"/>
            <w:left w:w="108" w:type="dxa"/>
            <w:bottom w:w="0" w:type="dxa"/>
            <w:right w:w="108" w:type="dxa"/>
          </w:tblCellMar>
        </w:tblPrEx>
        <w:trPr>
          <w:trHeight w:val="2311" w:hRule="atLeast"/>
        </w:trPr>
        <w:tc>
          <w:tcPr>
            <w:tcW w:w="4867" w:type="dxa"/>
            <w:noWrap w:val="0"/>
            <w:vAlign w:val="top"/>
          </w:tcPr>
          <w:p w14:paraId="5E105B35">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drawing>
                <wp:inline distT="0" distB="0" distL="114300" distR="114300">
                  <wp:extent cx="2948940" cy="1720850"/>
                  <wp:effectExtent l="0" t="0" r="10160" b="6350"/>
                  <wp:docPr id="6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0"/>
                          <pic:cNvPicPr>
                            <a:picLocks noChangeAspect="1"/>
                          </pic:cNvPicPr>
                        </pic:nvPicPr>
                        <pic:blipFill>
                          <a:blip r:embed="rId10"/>
                          <a:stretch>
                            <a:fillRect/>
                          </a:stretch>
                        </pic:blipFill>
                        <pic:spPr>
                          <a:xfrm>
                            <a:off x="0" y="0"/>
                            <a:ext cx="2948940" cy="1720850"/>
                          </a:xfrm>
                          <a:prstGeom prst="rect">
                            <a:avLst/>
                          </a:prstGeom>
                          <a:noFill/>
                          <a:ln>
                            <a:noFill/>
                          </a:ln>
                        </pic:spPr>
                      </pic:pic>
                    </a:graphicData>
                  </a:graphic>
                </wp:inline>
              </w:drawing>
            </w:r>
          </w:p>
        </w:tc>
        <w:tc>
          <w:tcPr>
            <w:tcW w:w="4487" w:type="dxa"/>
            <w:noWrap w:val="0"/>
            <w:vAlign w:val="top"/>
          </w:tcPr>
          <w:p w14:paraId="4C0D9C4E">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drawing>
                <wp:inline distT="0" distB="0" distL="114300" distR="114300">
                  <wp:extent cx="2707640" cy="1685290"/>
                  <wp:effectExtent l="0" t="0" r="10160" b="3810"/>
                  <wp:docPr id="6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1"/>
                          <pic:cNvPicPr>
                            <a:picLocks noChangeAspect="1"/>
                          </pic:cNvPicPr>
                        </pic:nvPicPr>
                        <pic:blipFill>
                          <a:blip r:embed="rId11"/>
                          <a:stretch>
                            <a:fillRect/>
                          </a:stretch>
                        </pic:blipFill>
                        <pic:spPr>
                          <a:xfrm>
                            <a:off x="0" y="0"/>
                            <a:ext cx="2707640" cy="1685290"/>
                          </a:xfrm>
                          <a:prstGeom prst="rect">
                            <a:avLst/>
                          </a:prstGeom>
                          <a:noFill/>
                          <a:ln>
                            <a:noFill/>
                          </a:ln>
                        </pic:spPr>
                      </pic:pic>
                    </a:graphicData>
                  </a:graphic>
                </wp:inline>
              </w:drawing>
            </w:r>
          </w:p>
        </w:tc>
        <w:tc>
          <w:tcPr>
            <w:tcW w:w="222" w:type="dxa"/>
            <w:noWrap w:val="0"/>
            <w:vAlign w:val="top"/>
          </w:tcPr>
          <w:p w14:paraId="268CA015">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p>
        </w:tc>
      </w:tr>
      <w:tr w14:paraId="7445FED9">
        <w:tblPrEx>
          <w:tblCellMar>
            <w:top w:w="0" w:type="dxa"/>
            <w:left w:w="108" w:type="dxa"/>
            <w:bottom w:w="0" w:type="dxa"/>
            <w:right w:w="108" w:type="dxa"/>
          </w:tblCellMar>
        </w:tblPrEx>
        <w:trPr>
          <w:trHeight w:val="205" w:hRule="atLeast"/>
        </w:trPr>
        <w:tc>
          <w:tcPr>
            <w:tcW w:w="4867" w:type="dxa"/>
            <w:noWrap w:val="0"/>
            <w:vAlign w:val="top"/>
          </w:tcPr>
          <w:p w14:paraId="303EEAAC">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B-3</w:t>
            </w:r>
          </w:p>
        </w:tc>
        <w:tc>
          <w:tcPr>
            <w:tcW w:w="4487" w:type="dxa"/>
            <w:noWrap w:val="0"/>
            <w:vAlign w:val="top"/>
          </w:tcPr>
          <w:p w14:paraId="6E18D814">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B-4</w:t>
            </w:r>
          </w:p>
        </w:tc>
        <w:tc>
          <w:tcPr>
            <w:tcW w:w="222" w:type="dxa"/>
            <w:noWrap w:val="0"/>
            <w:vAlign w:val="top"/>
          </w:tcPr>
          <w:p w14:paraId="0EF55242">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p>
        </w:tc>
      </w:tr>
      <w:tr w14:paraId="1DBDBE87">
        <w:tblPrEx>
          <w:tblCellMar>
            <w:top w:w="0" w:type="dxa"/>
            <w:left w:w="108" w:type="dxa"/>
            <w:bottom w:w="0" w:type="dxa"/>
            <w:right w:w="108" w:type="dxa"/>
          </w:tblCellMar>
        </w:tblPrEx>
        <w:trPr>
          <w:trHeight w:val="2426" w:hRule="atLeast"/>
        </w:trPr>
        <w:tc>
          <w:tcPr>
            <w:tcW w:w="4867" w:type="dxa"/>
            <w:noWrap w:val="0"/>
            <w:vAlign w:val="top"/>
          </w:tcPr>
          <w:p w14:paraId="6C582EF0">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drawing>
                <wp:inline distT="0" distB="0" distL="114300" distR="114300">
                  <wp:extent cx="2755265" cy="1607820"/>
                  <wp:effectExtent l="0" t="0" r="635" b="5080"/>
                  <wp:docPr id="7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2"/>
                          <pic:cNvPicPr>
                            <a:picLocks noChangeAspect="1"/>
                          </pic:cNvPicPr>
                        </pic:nvPicPr>
                        <pic:blipFill>
                          <a:blip r:embed="rId12"/>
                          <a:stretch>
                            <a:fillRect/>
                          </a:stretch>
                        </pic:blipFill>
                        <pic:spPr>
                          <a:xfrm>
                            <a:off x="0" y="0"/>
                            <a:ext cx="2755265" cy="1607820"/>
                          </a:xfrm>
                          <a:prstGeom prst="rect">
                            <a:avLst/>
                          </a:prstGeom>
                          <a:noFill/>
                          <a:ln>
                            <a:noFill/>
                          </a:ln>
                        </pic:spPr>
                      </pic:pic>
                    </a:graphicData>
                  </a:graphic>
                </wp:inline>
              </w:drawing>
            </w:r>
          </w:p>
        </w:tc>
        <w:tc>
          <w:tcPr>
            <w:tcW w:w="4487" w:type="dxa"/>
            <w:noWrap w:val="0"/>
            <w:vAlign w:val="top"/>
          </w:tcPr>
          <w:p w14:paraId="2833201C">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drawing>
                <wp:anchor distT="0" distB="0" distL="114300" distR="114300" simplePos="0" relativeHeight="251660288" behindDoc="0" locked="0" layoutInCell="1" allowOverlap="1">
                  <wp:simplePos x="0" y="0"/>
                  <wp:positionH relativeFrom="column">
                    <wp:posOffset>7620</wp:posOffset>
                  </wp:positionH>
                  <wp:positionV relativeFrom="paragraph">
                    <wp:posOffset>84455</wp:posOffset>
                  </wp:positionV>
                  <wp:extent cx="2680335" cy="1564640"/>
                  <wp:effectExtent l="0" t="0" r="12065" b="10160"/>
                  <wp:wrapSquare wrapText="bothSides"/>
                  <wp:docPr id="3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1"/>
                          <pic:cNvPicPr>
                            <a:picLocks noChangeAspect="1"/>
                          </pic:cNvPicPr>
                        </pic:nvPicPr>
                        <pic:blipFill>
                          <a:blip r:embed="rId13"/>
                          <a:stretch>
                            <a:fillRect/>
                          </a:stretch>
                        </pic:blipFill>
                        <pic:spPr>
                          <a:xfrm>
                            <a:off x="0" y="0"/>
                            <a:ext cx="2680335" cy="1564640"/>
                          </a:xfrm>
                          <a:prstGeom prst="rect">
                            <a:avLst/>
                          </a:prstGeom>
                          <a:noFill/>
                          <a:ln>
                            <a:noFill/>
                          </a:ln>
                        </pic:spPr>
                      </pic:pic>
                    </a:graphicData>
                  </a:graphic>
                </wp:anchor>
              </w:drawing>
            </w:r>
          </w:p>
        </w:tc>
        <w:tc>
          <w:tcPr>
            <w:tcW w:w="222" w:type="dxa"/>
            <w:noWrap w:val="0"/>
            <w:vAlign w:val="top"/>
          </w:tcPr>
          <w:p w14:paraId="014EDDBB">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p>
        </w:tc>
      </w:tr>
      <w:tr w14:paraId="770E19E1">
        <w:tblPrEx>
          <w:tblCellMar>
            <w:top w:w="0" w:type="dxa"/>
            <w:left w:w="108" w:type="dxa"/>
            <w:bottom w:w="0" w:type="dxa"/>
            <w:right w:w="108" w:type="dxa"/>
          </w:tblCellMar>
        </w:tblPrEx>
        <w:trPr>
          <w:trHeight w:val="205" w:hRule="atLeast"/>
        </w:trPr>
        <w:tc>
          <w:tcPr>
            <w:tcW w:w="4867" w:type="dxa"/>
            <w:noWrap w:val="0"/>
            <w:vAlign w:val="top"/>
          </w:tcPr>
          <w:p w14:paraId="78BFE97B">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B-5</w:t>
            </w:r>
          </w:p>
        </w:tc>
        <w:tc>
          <w:tcPr>
            <w:tcW w:w="4487" w:type="dxa"/>
            <w:noWrap w:val="0"/>
            <w:vAlign w:val="top"/>
          </w:tcPr>
          <w:p w14:paraId="41CF54DF">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t>B-6</w:t>
            </w:r>
          </w:p>
        </w:tc>
        <w:tc>
          <w:tcPr>
            <w:tcW w:w="222" w:type="dxa"/>
            <w:noWrap w:val="0"/>
            <w:vAlign w:val="top"/>
          </w:tcPr>
          <w:p w14:paraId="681DC100">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p>
        </w:tc>
      </w:tr>
      <w:tr w14:paraId="54A78E59">
        <w:tblPrEx>
          <w:tblCellMar>
            <w:top w:w="0" w:type="dxa"/>
            <w:left w:w="108" w:type="dxa"/>
            <w:bottom w:w="0" w:type="dxa"/>
            <w:right w:w="108" w:type="dxa"/>
          </w:tblCellMar>
        </w:tblPrEx>
        <w:trPr>
          <w:trHeight w:val="205" w:hRule="atLeast"/>
        </w:trPr>
        <w:tc>
          <w:tcPr>
            <w:tcW w:w="9576" w:type="dxa"/>
            <w:gridSpan w:val="3"/>
            <w:noWrap w:val="0"/>
            <w:vAlign w:val="top"/>
          </w:tcPr>
          <w:p w14:paraId="38A38FEE">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p>
        </w:tc>
      </w:tr>
      <w:tr w14:paraId="7C8C746A">
        <w:tblPrEx>
          <w:tblCellMar>
            <w:top w:w="0" w:type="dxa"/>
            <w:left w:w="108" w:type="dxa"/>
            <w:bottom w:w="0" w:type="dxa"/>
            <w:right w:w="108" w:type="dxa"/>
          </w:tblCellMar>
        </w:tblPrEx>
        <w:trPr>
          <w:trHeight w:val="2073" w:hRule="atLeast"/>
        </w:trPr>
        <w:tc>
          <w:tcPr>
            <w:tcW w:w="4867" w:type="dxa"/>
            <w:noWrap w:val="0"/>
            <w:vAlign w:val="top"/>
          </w:tcPr>
          <w:p w14:paraId="0528F800">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drawing>
                <wp:inline distT="0" distB="0" distL="114300" distR="114300">
                  <wp:extent cx="2646045" cy="1544320"/>
                  <wp:effectExtent l="0" t="0" r="8255" b="5080"/>
                  <wp:docPr id="7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3"/>
                          <pic:cNvPicPr>
                            <a:picLocks noChangeAspect="1"/>
                          </pic:cNvPicPr>
                        </pic:nvPicPr>
                        <pic:blipFill>
                          <a:blip r:embed="rId14"/>
                          <a:stretch>
                            <a:fillRect/>
                          </a:stretch>
                        </pic:blipFill>
                        <pic:spPr>
                          <a:xfrm>
                            <a:off x="0" y="0"/>
                            <a:ext cx="2646045" cy="1544320"/>
                          </a:xfrm>
                          <a:prstGeom prst="rect">
                            <a:avLst/>
                          </a:prstGeom>
                          <a:noFill/>
                          <a:ln>
                            <a:noFill/>
                          </a:ln>
                        </pic:spPr>
                      </pic:pic>
                    </a:graphicData>
                  </a:graphic>
                </wp:inline>
              </w:drawing>
            </w:r>
          </w:p>
        </w:tc>
        <w:tc>
          <w:tcPr>
            <w:tcW w:w="4487" w:type="dxa"/>
            <w:noWrap w:val="0"/>
            <w:vAlign w:val="top"/>
          </w:tcPr>
          <w:p w14:paraId="33D8203B">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drawing>
                <wp:inline distT="0" distB="0" distL="114300" distR="114300">
                  <wp:extent cx="2642235" cy="1542415"/>
                  <wp:effectExtent l="0" t="0" r="12065" b="6985"/>
                  <wp:docPr id="7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4"/>
                          <pic:cNvPicPr>
                            <a:picLocks noChangeAspect="1"/>
                          </pic:cNvPicPr>
                        </pic:nvPicPr>
                        <pic:blipFill>
                          <a:blip r:embed="rId15"/>
                          <a:stretch>
                            <a:fillRect/>
                          </a:stretch>
                        </pic:blipFill>
                        <pic:spPr>
                          <a:xfrm>
                            <a:off x="0" y="0"/>
                            <a:ext cx="2642235" cy="1542415"/>
                          </a:xfrm>
                          <a:prstGeom prst="rect">
                            <a:avLst/>
                          </a:prstGeom>
                          <a:noFill/>
                          <a:ln>
                            <a:noFill/>
                          </a:ln>
                        </pic:spPr>
                      </pic:pic>
                    </a:graphicData>
                  </a:graphic>
                </wp:inline>
              </w:drawing>
            </w:r>
          </w:p>
        </w:tc>
        <w:tc>
          <w:tcPr>
            <w:tcW w:w="222" w:type="dxa"/>
            <w:noWrap w:val="0"/>
            <w:vAlign w:val="top"/>
          </w:tcPr>
          <w:p w14:paraId="490B7938">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p>
        </w:tc>
      </w:tr>
      <w:tr w14:paraId="6D905A20">
        <w:tblPrEx>
          <w:tblCellMar>
            <w:top w:w="0" w:type="dxa"/>
            <w:left w:w="108" w:type="dxa"/>
            <w:bottom w:w="0" w:type="dxa"/>
            <w:right w:w="108" w:type="dxa"/>
          </w:tblCellMar>
        </w:tblPrEx>
        <w:trPr>
          <w:trHeight w:val="205" w:hRule="atLeast"/>
        </w:trPr>
        <w:tc>
          <w:tcPr>
            <w:tcW w:w="9576" w:type="dxa"/>
            <w:gridSpan w:val="3"/>
            <w:noWrap w:val="0"/>
            <w:vAlign w:val="top"/>
          </w:tcPr>
          <w:p w14:paraId="5F23E704">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highlight w:val="none"/>
                <w:lang w:val="en-US" w:eastAsia="zh-CN"/>
                <w14:textFill>
                  <w14:solidFill>
                    <w14:schemeClr w14:val="tx1"/>
                  </w14:solidFill>
                </w14:textFill>
              </w:rPr>
              <w:t>图1</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球虫感染牛肠道HE结果</w:t>
            </w:r>
          </w:p>
        </w:tc>
      </w:tr>
    </w:tbl>
    <w:p w14:paraId="4A94A084">
      <w:pPr>
        <w:widowControl w:val="0"/>
        <w:spacing w:after="0" w:line="360" w:lineRule="auto"/>
        <w:jc w:val="both"/>
        <w:outlineLvl w:val="3"/>
        <w:rPr>
          <w:rFonts w:hint="eastAsia" w:ascii="Times New Roman" w:hAnsi="Times New Roman" w:cs="Times New Roman"/>
          <w:b/>
          <w:bCs/>
          <w:color w:val="000000" w:themeColor="text1"/>
          <w:sz w:val="24"/>
          <w:szCs w:val="24"/>
          <w:highlight w:val="none"/>
          <w:lang w:val="en-US" w:eastAsia="zh-CN"/>
          <w14:textFill>
            <w14:solidFill>
              <w14:schemeClr w14:val="tx1"/>
            </w14:solidFill>
          </w14:textFill>
        </w:rPr>
      </w:pPr>
    </w:p>
    <w:p w14:paraId="75E11A2F">
      <w:pPr>
        <w:widowControl w:val="0"/>
        <w:spacing w:after="0" w:line="360" w:lineRule="auto"/>
        <w:ind w:firstLine="480" w:firstLineChars="200"/>
        <w:jc w:val="both"/>
        <w:rPr>
          <w:rFonts w:hint="default" w:ascii="Times New Roman" w:hAnsi="Times New Roman" w:cs="Times New Roman"/>
          <w:color w:val="000000" w:themeColor="text1"/>
          <w:sz w:val="24"/>
          <w:szCs w:val="24"/>
          <w:highlight w:val="none"/>
          <w:lang w:val="en-US"/>
          <w14:textFill>
            <w14:solidFill>
              <w14:schemeClr w14:val="tx1"/>
            </w14:solidFill>
          </w14:textFill>
        </w:rPr>
      </w:pP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811560</w:t>
      </w:r>
      <w:r>
        <w:rPr>
          <w:rFonts w:hint="default" w:ascii="Times New Roman" w:hAnsi="Times New Roman" w:cs="Times New Roman"/>
          <w:color w:val="000000" w:themeColor="text1"/>
          <w:sz w:val="24"/>
          <w:szCs w:val="24"/>
          <w:highlight w:val="none"/>
          <w14:textFill>
            <w14:solidFill>
              <w14:schemeClr w14:val="tx1"/>
            </w14:solidFill>
          </w14:textFill>
        </w:rPr>
        <w:t>牛只长期腹泻，导致其消瘦、异食癖，剖检前处于濒死状态，剖检可见肠道出血、肿胀等现象，见图</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color w:val="000000" w:themeColor="text1"/>
          <w:sz w:val="24"/>
          <w:szCs w:val="24"/>
          <w:highlight w:val="none"/>
          <w14:textFill>
            <w14:solidFill>
              <w14:schemeClr w14:val="tx1"/>
            </w14:solidFill>
          </w14:textFill>
        </w:rPr>
        <w:t>。811604 腹泻严重</w:t>
      </w:r>
      <w:r>
        <w:rPr>
          <w:rFonts w:hint="default" w:ascii="Times New Roman" w:hAnsi="Times New Roman"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14:textFill>
            <w14:solidFill>
              <w14:schemeClr w14:val="tx1"/>
            </w14:solidFill>
          </w14:textFill>
        </w:rPr>
        <w:t>解剖前一晚OPG</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为</w:t>
      </w:r>
      <w:r>
        <w:rPr>
          <w:rFonts w:hint="default" w:ascii="Times New Roman" w:hAnsi="Times New Roman" w:cs="Times New Roman"/>
          <w:color w:val="000000" w:themeColor="text1"/>
          <w:sz w:val="24"/>
          <w:szCs w:val="24"/>
          <w:highlight w:val="none"/>
          <w14:textFill>
            <w14:solidFill>
              <w14:schemeClr w14:val="tx1"/>
            </w14:solidFill>
          </w14:textFill>
        </w:rPr>
        <w:t xml:space="preserve"> 17</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0000，</w:t>
      </w:r>
      <w:r>
        <w:rPr>
          <w:rFonts w:hint="default" w:ascii="Times New Roman" w:hAnsi="Times New Roman" w:cs="Times New Roman"/>
          <w:color w:val="000000" w:themeColor="text1"/>
          <w:sz w:val="24"/>
          <w:szCs w:val="24"/>
          <w:highlight w:val="none"/>
          <w14:textFill>
            <w14:solidFill>
              <w14:schemeClr w14:val="tx1"/>
            </w14:solidFill>
          </w14:textFill>
        </w:rPr>
        <w:t>见图</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与前期临床观察结果一致。</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表明临床球虫病的发生于异食</w:t>
      </w:r>
      <w:r>
        <w:rPr>
          <w:rFonts w:hint="default" w:ascii="Times New Roman" w:hAnsi="Times New Roman" w:cs="Times New Roman"/>
          <w:color w:val="000000" w:themeColor="text1"/>
          <w:sz w:val="24"/>
          <w:szCs w:val="24"/>
          <w:highlight w:val="none"/>
          <w14:textFill>
            <w14:solidFill>
              <w14:schemeClr w14:val="tx1"/>
            </w14:solidFill>
          </w14:textFill>
        </w:rPr>
        <w:t>癖</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有一定联系。</w:t>
      </w:r>
    </w:p>
    <w:tbl>
      <w:tblPr>
        <w:tblStyle w:val="13"/>
        <w:tblW w:w="0" w:type="auto"/>
        <w:jc w:val="center"/>
        <w:tblLayout w:type="autofit"/>
        <w:tblCellMar>
          <w:top w:w="0" w:type="dxa"/>
          <w:left w:w="108" w:type="dxa"/>
          <w:bottom w:w="0" w:type="dxa"/>
          <w:right w:w="108" w:type="dxa"/>
        </w:tblCellMar>
      </w:tblPr>
      <w:tblGrid>
        <w:gridCol w:w="3171"/>
        <w:gridCol w:w="3209"/>
      </w:tblGrid>
      <w:tr w14:paraId="121C5593">
        <w:tblPrEx>
          <w:tblCellMar>
            <w:top w:w="0" w:type="dxa"/>
            <w:left w:w="108" w:type="dxa"/>
            <w:bottom w:w="0" w:type="dxa"/>
            <w:right w:w="108" w:type="dxa"/>
          </w:tblCellMar>
        </w:tblPrEx>
        <w:trPr>
          <w:jc w:val="center"/>
        </w:trPr>
        <w:tc>
          <w:tcPr>
            <w:tcW w:w="3171" w:type="dxa"/>
            <w:noWrap w:val="0"/>
            <w:vAlign w:val="top"/>
          </w:tcPr>
          <w:p w14:paraId="002EEBB3">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lang w:val="en-US" w:eastAsia="zh-CN"/>
                <w14:textFill>
                  <w14:solidFill>
                    <w14:schemeClr w14:val="tx1"/>
                  </w14:solidFill>
                </w14:textFill>
              </w:rPr>
              <w:t>A</w:t>
            </w:r>
          </w:p>
        </w:tc>
        <w:tc>
          <w:tcPr>
            <w:tcW w:w="3209" w:type="dxa"/>
            <w:noWrap w:val="0"/>
            <w:vAlign w:val="top"/>
          </w:tcPr>
          <w:p w14:paraId="33EB7DA3">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cs="Times New Roman"/>
                <w:color w:val="000000" w:themeColor="text1"/>
                <w:highlight w:val="none"/>
                <w14:textFill>
                  <w14:solidFill>
                    <w14:schemeClr w14:val="tx1"/>
                  </w14:solidFill>
                </w14:textFill>
              </w:rPr>
            </w:pPr>
          </w:p>
        </w:tc>
      </w:tr>
      <w:tr w14:paraId="18D38F36">
        <w:tblPrEx>
          <w:tblCellMar>
            <w:top w:w="0" w:type="dxa"/>
            <w:left w:w="108" w:type="dxa"/>
            <w:bottom w:w="0" w:type="dxa"/>
            <w:right w:w="108" w:type="dxa"/>
          </w:tblCellMar>
        </w:tblPrEx>
        <w:trPr>
          <w:jc w:val="center"/>
        </w:trPr>
        <w:tc>
          <w:tcPr>
            <w:tcW w:w="3171" w:type="dxa"/>
            <w:noWrap w:val="0"/>
            <w:vAlign w:val="top"/>
          </w:tcPr>
          <w:p w14:paraId="3887C95A">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1609725" cy="1647825"/>
                  <wp:effectExtent l="0" t="0" r="0" b="0"/>
                  <wp:docPr id="5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0"/>
                          <pic:cNvPicPr>
                            <a:picLocks noChangeAspect="1"/>
                          </pic:cNvPicPr>
                        </pic:nvPicPr>
                        <pic:blipFill>
                          <a:blip r:embed="rId16"/>
                          <a:stretch>
                            <a:fillRect/>
                          </a:stretch>
                        </pic:blipFill>
                        <pic:spPr>
                          <a:xfrm rot="5400000">
                            <a:off x="0" y="0"/>
                            <a:ext cx="1609725" cy="1647825"/>
                          </a:xfrm>
                          <a:prstGeom prst="rect">
                            <a:avLst/>
                          </a:prstGeom>
                          <a:noFill/>
                          <a:ln>
                            <a:noFill/>
                          </a:ln>
                        </pic:spPr>
                      </pic:pic>
                    </a:graphicData>
                  </a:graphic>
                </wp:inline>
              </w:drawing>
            </w:r>
          </w:p>
        </w:tc>
        <w:tc>
          <w:tcPr>
            <w:tcW w:w="3209" w:type="dxa"/>
            <w:noWrap w:val="0"/>
            <w:vAlign w:val="top"/>
          </w:tcPr>
          <w:p w14:paraId="1EAB5911">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anchor distT="0" distB="0" distL="114300" distR="114300" simplePos="0" relativeHeight="251659264" behindDoc="0" locked="0" layoutInCell="1" allowOverlap="1">
                  <wp:simplePos x="0" y="0"/>
                  <wp:positionH relativeFrom="column">
                    <wp:posOffset>-1905</wp:posOffset>
                  </wp:positionH>
                  <wp:positionV relativeFrom="paragraph">
                    <wp:posOffset>97155</wp:posOffset>
                  </wp:positionV>
                  <wp:extent cx="1657350" cy="1581150"/>
                  <wp:effectExtent l="0" t="0" r="0" b="0"/>
                  <wp:wrapSquare wrapText="bothSides"/>
                  <wp:docPr id="2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0"/>
                          <pic:cNvPicPr>
                            <a:picLocks noChangeAspect="1"/>
                          </pic:cNvPicPr>
                        </pic:nvPicPr>
                        <pic:blipFill>
                          <a:blip r:embed="rId17"/>
                          <a:srcRect l="6760" t="8791" r="7875"/>
                          <a:stretch>
                            <a:fillRect/>
                          </a:stretch>
                        </pic:blipFill>
                        <pic:spPr>
                          <a:xfrm>
                            <a:off x="0" y="0"/>
                            <a:ext cx="1657350" cy="1581150"/>
                          </a:xfrm>
                          <a:prstGeom prst="rect">
                            <a:avLst/>
                          </a:prstGeom>
                          <a:noFill/>
                          <a:ln>
                            <a:noFill/>
                          </a:ln>
                        </pic:spPr>
                      </pic:pic>
                    </a:graphicData>
                  </a:graphic>
                </wp:anchor>
              </w:drawing>
            </w:r>
          </w:p>
        </w:tc>
      </w:tr>
      <w:tr w14:paraId="4CF74518">
        <w:tblPrEx>
          <w:tblCellMar>
            <w:top w:w="0" w:type="dxa"/>
            <w:left w:w="108" w:type="dxa"/>
            <w:bottom w:w="0" w:type="dxa"/>
            <w:right w:w="108" w:type="dxa"/>
          </w:tblCellMar>
        </w:tblPrEx>
        <w:trPr>
          <w:jc w:val="center"/>
        </w:trPr>
        <w:tc>
          <w:tcPr>
            <w:tcW w:w="3171" w:type="dxa"/>
            <w:noWrap w:val="0"/>
            <w:vAlign w:val="top"/>
          </w:tcPr>
          <w:p w14:paraId="6C950A50">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lang w:val="en-US" w:eastAsia="zh-CN"/>
                <w14:textFill>
                  <w14:solidFill>
                    <w14:schemeClr w14:val="tx1"/>
                  </w14:solidFill>
                </w14:textFill>
              </w:rPr>
              <w:t>B</w:t>
            </w:r>
          </w:p>
        </w:tc>
        <w:tc>
          <w:tcPr>
            <w:tcW w:w="3209" w:type="dxa"/>
            <w:noWrap w:val="0"/>
            <w:vAlign w:val="top"/>
          </w:tcPr>
          <w:p w14:paraId="419F9002">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cs="Times New Roman"/>
                <w:color w:val="000000" w:themeColor="text1"/>
                <w:highlight w:val="none"/>
                <w14:textFill>
                  <w14:solidFill>
                    <w14:schemeClr w14:val="tx1"/>
                  </w14:solidFill>
                </w14:textFill>
              </w:rPr>
            </w:pPr>
          </w:p>
        </w:tc>
      </w:tr>
      <w:tr w14:paraId="7E5C0555">
        <w:tblPrEx>
          <w:tblCellMar>
            <w:top w:w="0" w:type="dxa"/>
            <w:left w:w="108" w:type="dxa"/>
            <w:bottom w:w="0" w:type="dxa"/>
            <w:right w:w="108" w:type="dxa"/>
          </w:tblCellMar>
        </w:tblPrEx>
        <w:trPr>
          <w:jc w:val="center"/>
        </w:trPr>
        <w:tc>
          <w:tcPr>
            <w:tcW w:w="3171" w:type="dxa"/>
            <w:noWrap w:val="0"/>
            <w:vAlign w:val="top"/>
          </w:tcPr>
          <w:p w14:paraId="537E9E3F">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1494155" cy="1595120"/>
                  <wp:effectExtent l="0" t="0" r="1270" b="5080"/>
                  <wp:docPr id="5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1"/>
                          <pic:cNvPicPr>
                            <a:picLocks noChangeAspect="1"/>
                          </pic:cNvPicPr>
                        </pic:nvPicPr>
                        <pic:blipFill>
                          <a:blip r:embed="rId18"/>
                          <a:srcRect l="10104" t="18256" r="15028" b="3387"/>
                          <a:stretch>
                            <a:fillRect/>
                          </a:stretch>
                        </pic:blipFill>
                        <pic:spPr>
                          <a:xfrm>
                            <a:off x="0" y="0"/>
                            <a:ext cx="1494155" cy="1595120"/>
                          </a:xfrm>
                          <a:prstGeom prst="rect">
                            <a:avLst/>
                          </a:prstGeom>
                          <a:noFill/>
                          <a:ln>
                            <a:noFill/>
                          </a:ln>
                        </pic:spPr>
                      </pic:pic>
                    </a:graphicData>
                  </a:graphic>
                </wp:inline>
              </w:drawing>
            </w:r>
          </w:p>
        </w:tc>
        <w:tc>
          <w:tcPr>
            <w:tcW w:w="3209" w:type="dxa"/>
            <w:noWrap w:val="0"/>
            <w:vAlign w:val="top"/>
          </w:tcPr>
          <w:p w14:paraId="177F7260">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1577975" cy="1690370"/>
                  <wp:effectExtent l="0" t="0" r="3175" b="5080"/>
                  <wp:docPr id="6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2"/>
                          <pic:cNvPicPr>
                            <a:picLocks noChangeAspect="1"/>
                          </pic:cNvPicPr>
                        </pic:nvPicPr>
                        <pic:blipFill>
                          <a:blip r:embed="rId19"/>
                          <a:srcRect t="12035"/>
                          <a:stretch>
                            <a:fillRect/>
                          </a:stretch>
                        </pic:blipFill>
                        <pic:spPr>
                          <a:xfrm>
                            <a:off x="0" y="0"/>
                            <a:ext cx="1577975" cy="1690370"/>
                          </a:xfrm>
                          <a:prstGeom prst="rect">
                            <a:avLst/>
                          </a:prstGeom>
                          <a:noFill/>
                          <a:ln>
                            <a:noFill/>
                          </a:ln>
                        </pic:spPr>
                      </pic:pic>
                    </a:graphicData>
                  </a:graphic>
                </wp:inline>
              </w:drawing>
            </w:r>
          </w:p>
        </w:tc>
      </w:tr>
      <w:tr w14:paraId="34271966">
        <w:tblPrEx>
          <w:tblCellMar>
            <w:top w:w="0" w:type="dxa"/>
            <w:left w:w="108" w:type="dxa"/>
            <w:bottom w:w="0" w:type="dxa"/>
            <w:right w:w="108" w:type="dxa"/>
          </w:tblCellMar>
        </w:tblPrEx>
        <w:trPr>
          <w:jc w:val="center"/>
        </w:trPr>
        <w:tc>
          <w:tcPr>
            <w:tcW w:w="6380" w:type="dxa"/>
            <w:gridSpan w:val="2"/>
            <w:noWrap w:val="0"/>
            <w:vAlign w:val="top"/>
          </w:tcPr>
          <w:p w14:paraId="67E7FD63">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图</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2</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 xml:space="preserve"> 球虫感染牛解剖图 </w:t>
            </w:r>
          </w:p>
        </w:tc>
      </w:tr>
    </w:tbl>
    <w:p w14:paraId="27CBAEE9">
      <w:pPr>
        <w:widowControl w:val="0"/>
        <w:spacing w:after="0" w:line="360" w:lineRule="auto"/>
        <w:ind w:firstLine="482" w:firstLineChars="200"/>
        <w:jc w:val="both"/>
        <w:outlineLvl w:val="3"/>
        <w:rPr>
          <w:rFonts w:hint="eastAsia" w:ascii="Times New Roman" w:hAnsi="Times New Roman" w:cs="Times New Roman"/>
          <w:b/>
          <w:bCs/>
          <w:color w:val="000000" w:themeColor="text1"/>
          <w:sz w:val="24"/>
          <w:szCs w:val="24"/>
          <w:highlight w:val="none"/>
          <w:lang w:val="en-US" w:eastAsia="zh-CN"/>
          <w14:textFill>
            <w14:solidFill>
              <w14:schemeClr w14:val="tx1"/>
            </w14:solidFill>
          </w14:textFill>
        </w:rPr>
      </w:pPr>
    </w:p>
    <w:p w14:paraId="0333E01D">
      <w:pPr>
        <w:widowControl w:val="0"/>
        <w:spacing w:after="0" w:line="360" w:lineRule="auto"/>
        <w:ind w:firstLine="480" w:firstLineChars="200"/>
        <w:jc w:val="both"/>
        <w:outlineLvl w:val="3"/>
        <w:rPr>
          <w:rFonts w:hint="default" w:ascii="Times New Roman" w:hAnsi="Times New Roman" w:cs="Times New Roman"/>
          <w:b w:val="0"/>
          <w:bCs w:val="0"/>
          <w:color w:val="000000" w:themeColor="text1"/>
          <w:sz w:val="24"/>
          <w:szCs w:val="24"/>
          <w:highlight w:val="none"/>
          <w14:textFill>
            <w14:solidFill>
              <w14:schemeClr w14:val="tx1"/>
            </w14:solidFill>
          </w14:textFill>
        </w:rPr>
      </w:pPr>
      <w:r>
        <w:rPr>
          <w:rFonts w:hint="eastAsia" w:ascii="Times New Roman" w:hAnsi="Times New Roman" w:cs="Times New Roman"/>
          <w:b w:val="0"/>
          <w:bCs w:val="0"/>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b w:val="0"/>
          <w:bCs w:val="0"/>
          <w:color w:val="000000" w:themeColor="text1"/>
          <w:sz w:val="24"/>
          <w:szCs w:val="24"/>
          <w:highlight w:val="none"/>
          <w14:textFill>
            <w14:solidFill>
              <w14:schemeClr w14:val="tx1"/>
            </w14:solidFill>
          </w14:textFill>
        </w:rPr>
        <w:t>犊牛球虫</w:t>
      </w:r>
      <w:r>
        <w:rPr>
          <w:rFonts w:hint="eastAsia" w:ascii="Times New Roman" w:hAnsi="Times New Roman" w:cs="Times New Roman"/>
          <w:b w:val="0"/>
          <w:bCs w:val="0"/>
          <w:color w:val="000000" w:themeColor="text1"/>
          <w:sz w:val="24"/>
          <w:szCs w:val="24"/>
          <w:highlight w:val="none"/>
          <w:lang w:val="en-US" w:eastAsia="zh-CN"/>
          <w14:textFill>
            <w14:solidFill>
              <w14:schemeClr w14:val="tx1"/>
            </w14:solidFill>
          </w14:textFill>
        </w:rPr>
        <w:t>病中西医结合诊疗技术</w:t>
      </w:r>
      <w:r>
        <w:rPr>
          <w:rFonts w:hint="default" w:ascii="Times New Roman" w:hAnsi="Times New Roman" w:cs="Times New Roman"/>
          <w:b w:val="0"/>
          <w:bCs w:val="0"/>
          <w:color w:val="000000" w:themeColor="text1"/>
          <w:sz w:val="24"/>
          <w:szCs w:val="24"/>
          <w:highlight w:val="none"/>
          <w14:textFill>
            <w14:solidFill>
              <w14:schemeClr w14:val="tx1"/>
            </w14:solidFill>
          </w14:textFill>
        </w:rPr>
        <w:t>的临床</w:t>
      </w:r>
      <w:r>
        <w:rPr>
          <w:rFonts w:hint="eastAsia" w:ascii="Times New Roman" w:hAnsi="Times New Roman" w:cs="Times New Roman"/>
          <w:b w:val="0"/>
          <w:bCs w:val="0"/>
          <w:color w:val="000000" w:themeColor="text1"/>
          <w:sz w:val="24"/>
          <w:szCs w:val="24"/>
          <w:highlight w:val="none"/>
          <w:lang w:val="en-US" w:eastAsia="zh-CN"/>
          <w14:textFill>
            <w14:solidFill>
              <w14:schemeClr w14:val="tx1"/>
            </w14:solidFill>
          </w14:textFill>
        </w:rPr>
        <w:t>效果</w:t>
      </w:r>
    </w:p>
    <w:p w14:paraId="165E58F6">
      <w:pPr>
        <w:widowControl w:val="0"/>
        <w:spacing w:after="0" w:line="360" w:lineRule="auto"/>
        <w:ind w:firstLine="480" w:firstLineChars="200"/>
        <w:jc w:val="both"/>
        <w:rPr>
          <w:rFonts w:hint="eastAsia"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按照宁夏地区牛球虫病诊断标准，被诊断为球虫阳性的患牛纳入本研究。本研究在宁夏四个规模化奶牛场（A奶牛场21头、B奶牛场40头、C奶牛场67头、D奶牛场188头）评估组方1治疗7月龄以内犊牛临床球虫病的疗效。进一步在D奶牛场（408头）比较组方1和5%托曲珠利混悬液的临床疗效。结果表明，组方1治疗6天后，试验组牛球虫总体阳性率从100%（316/316）下降至9.55%（30/314），平均OPG值由1120.01降低为20.63，检测治疗后牛粪样发现所感染球虫亚种由邱氏艾美耳球虫和牛艾美耳球虫等高致病性虫种为主变为低致病性虫种为主。腹泻总体治愈或有效率达到90.13%（283/314）。其中，球特威对腹泻的治愈率显著高于对照药物托曲珠利治疗组的治愈率（P&lt;0.001）。试验组患牛体况显著改善，表现为患牛的毛色光滑亮泽、瘤胃充盈度良好、精神状态良好、眼神灵敏的比率显著优于托曲珠利治疗组的患牛，两者对临床牛球虫病均有治疗效果，且前者的治疗效果优于后者。组方1还能有效提高机体效免疫球蛋白的含量和抗氧化性能，增强免疫功能，提高动物抗应激、抗疾病能力。</w:t>
      </w:r>
    </w:p>
    <w:p w14:paraId="3E0169CB">
      <w:pPr>
        <w:widowControl w:val="0"/>
        <w:spacing w:after="0" w:line="360" w:lineRule="auto"/>
        <w:ind w:firstLine="480" w:firstLineChars="200"/>
        <w:jc w:val="both"/>
        <w:rPr>
          <w:rFonts w:hint="eastAsia" w:ascii="Times New Roman" w:hAnsi="Times New Roman" w:cs="Times New Roman"/>
          <w:color w:val="000000" w:themeColor="text1"/>
          <w:sz w:val="24"/>
          <w:szCs w:val="24"/>
          <w:highlight w:val="none"/>
          <w:lang w:val="en-US" w:eastAsia="zh-CN"/>
          <w14:textFill>
            <w14:solidFill>
              <w14:schemeClr w14:val="tx1"/>
            </w14:solidFill>
          </w14:textFill>
        </w:rPr>
      </w:pPr>
    </w:p>
    <w:p w14:paraId="56838ECE">
      <w:pPr>
        <w:widowControl/>
        <w:spacing w:line="276" w:lineRule="auto"/>
        <w:ind w:firstLine="420" w:firstLineChars="200"/>
        <w:jc w:val="center"/>
        <w:rPr>
          <w:rFonts w:ascii="宋体" w:hAnsi="宋体" w:eastAsia="宋体" w:cs="宋体"/>
          <w:color w:val="000000" w:themeColor="text1"/>
          <w:kern w:val="0"/>
          <w:sz w:val="21"/>
          <w:szCs w:val="21"/>
          <w:highlight w:val="none"/>
          <w14:textFill>
            <w14:solidFill>
              <w14:schemeClr w14:val="tx1"/>
            </w14:solidFill>
          </w14:textFill>
          <w14:ligatures w14:val="none"/>
        </w:rPr>
      </w:pPr>
      <w:r>
        <w:rPr>
          <w:rFonts w:hint="eastAsia" w:ascii="宋体" w:hAnsi="宋体" w:eastAsia="宋体" w:cs="宋体"/>
          <w:color w:val="000000" w:themeColor="text1"/>
          <w:kern w:val="0"/>
          <w:sz w:val="21"/>
          <w:szCs w:val="21"/>
          <w:highlight w:val="none"/>
          <w14:textFill>
            <w14:solidFill>
              <w14:schemeClr w14:val="tx1"/>
            </w14:solidFill>
          </w14:textFill>
          <w14:ligatures w14:val="none"/>
        </w:rPr>
        <w:t>表</w:t>
      </w:r>
      <w:r>
        <w:rPr>
          <w:rFonts w:hint="eastAsia" w:ascii="宋体" w:hAnsi="宋体" w:eastAsia="宋体" w:cs="宋体"/>
          <w:color w:val="000000" w:themeColor="text1"/>
          <w:kern w:val="0"/>
          <w:sz w:val="21"/>
          <w:szCs w:val="21"/>
          <w:highlight w:val="none"/>
          <w:lang w:val="en-US" w:eastAsia="zh-CN"/>
          <w14:textFill>
            <w14:solidFill>
              <w14:schemeClr w14:val="tx1"/>
            </w14:solidFill>
          </w14:textFill>
          <w14:ligatures w14:val="none"/>
        </w:rPr>
        <w:t xml:space="preserve">4 </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组方1</w:t>
      </w:r>
      <w:r>
        <w:rPr>
          <w:rFonts w:hint="eastAsia" w:ascii="宋体" w:hAnsi="宋体" w:eastAsia="宋体" w:cs="宋体"/>
          <w:color w:val="000000" w:themeColor="text1"/>
          <w:kern w:val="0"/>
          <w:sz w:val="21"/>
          <w:szCs w:val="21"/>
          <w:highlight w:val="none"/>
          <w14:textFill>
            <w14:solidFill>
              <w14:schemeClr w14:val="tx1"/>
            </w14:solidFill>
          </w14:textFill>
          <w14:ligatures w14:val="none"/>
        </w:rPr>
        <w:t>治疗前后各奶牛场试验牛球虫感染率和平均</w:t>
      </w:r>
      <w:r>
        <w:rPr>
          <w:rFonts w:ascii="宋体" w:hAnsi="宋体" w:eastAsia="宋体" w:cs="宋体"/>
          <w:color w:val="000000" w:themeColor="text1"/>
          <w:kern w:val="0"/>
          <w:sz w:val="21"/>
          <w:szCs w:val="21"/>
          <w:highlight w:val="none"/>
          <w14:textFill>
            <w14:solidFill>
              <w14:schemeClr w14:val="tx1"/>
            </w14:solidFill>
          </w14:textFill>
          <w14:ligatures w14:val="none"/>
        </w:rPr>
        <w:t>OPG</w:t>
      </w:r>
      <w:r>
        <w:rPr>
          <w:rFonts w:hint="eastAsia" w:ascii="宋体" w:hAnsi="宋体" w:eastAsia="宋体" w:cs="宋体"/>
          <w:color w:val="000000" w:themeColor="text1"/>
          <w:kern w:val="0"/>
          <w:sz w:val="21"/>
          <w:szCs w:val="21"/>
          <w:highlight w:val="none"/>
          <w14:textFill>
            <w14:solidFill>
              <w14:schemeClr w14:val="tx1"/>
            </w14:solidFill>
          </w14:textFill>
          <w14:ligatures w14:val="none"/>
        </w:rPr>
        <w:t>值变化</w:t>
      </w:r>
    </w:p>
    <w:tbl>
      <w:tblPr>
        <w:tblStyle w:val="29"/>
        <w:tblW w:w="5000" w:type="pct"/>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34"/>
        <w:gridCol w:w="2240"/>
        <w:gridCol w:w="2021"/>
        <w:gridCol w:w="2300"/>
        <w:gridCol w:w="2081"/>
      </w:tblGrid>
      <w:tr w14:paraId="6A67842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317" w:type="pct"/>
            <w:tcBorders>
              <w:top w:val="single" w:color="auto" w:sz="12" w:space="0"/>
              <w:left w:val="nil"/>
              <w:bottom w:val="single" w:color="auto" w:sz="6" w:space="0"/>
              <w:right w:val="nil"/>
              <w:insideH w:val="single" w:sz="6" w:space="0"/>
              <w:insideV w:val="nil"/>
              <w:tl2br w:val="nil"/>
              <w:tr2bl w:val="nil"/>
            </w:tcBorders>
            <w:noWrap/>
          </w:tcPr>
          <w:p w14:paraId="720D1DE2">
            <w:pPr>
              <w:widowControl/>
              <w:wordWrap/>
              <w:spacing w:after="120" w:line="360" w:lineRule="exact"/>
              <w:jc w:val="cente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t>Dairy Farm</w:t>
            </w:r>
          </w:p>
        </w:tc>
        <w:tc>
          <w:tcPr>
            <w:tcW w:w="1153" w:type="pct"/>
            <w:tcBorders>
              <w:top w:val="single" w:color="auto" w:sz="12" w:space="0"/>
              <w:bottom w:val="single" w:color="auto" w:sz="6" w:space="0"/>
              <w:right w:val="nil"/>
              <w:insideH w:val="single" w:sz="6" w:space="0"/>
              <w:insideV w:val="nil"/>
              <w:tl2br w:val="nil"/>
              <w:tr2bl w:val="nil"/>
            </w:tcBorders>
            <w:noWrap/>
          </w:tcPr>
          <w:p w14:paraId="7E7EFC4D">
            <w:pPr>
              <w:widowControl/>
              <w:wordWrap/>
              <w:spacing w:after="120" w:line="360" w:lineRule="exact"/>
              <w:jc w:val="cente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pPr>
            <w:bookmarkStart w:id="2" w:name="OLE_LINK70"/>
            <w:bookmarkStart w:id="3" w:name="OLE_LINK71"/>
            <w:bookmarkStart w:id="4" w:name="OLE_LINK68"/>
            <w:bookmarkStart w:id="5" w:name="OLE_LINK69"/>
            <w: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t>Pre-Treatment</w:t>
            </w:r>
            <w:bookmarkEnd w:id="2"/>
            <w:bookmarkEnd w:id="3"/>
            <w: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t xml:space="preserve"> Positive Rate</w:t>
            </w:r>
            <w:bookmarkEnd w:id="4"/>
            <w:bookmarkEnd w:id="5"/>
            <w: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t xml:space="preserve"> (%)</w:t>
            </w:r>
          </w:p>
        </w:tc>
        <w:tc>
          <w:tcPr>
            <w:tcW w:w="1155" w:type="pct"/>
            <w:tcBorders>
              <w:top w:val="single" w:color="auto" w:sz="12" w:space="0"/>
              <w:bottom w:val="single" w:color="auto" w:sz="6" w:space="0"/>
              <w:right w:val="nil"/>
              <w:insideH w:val="single" w:sz="6" w:space="0"/>
              <w:insideV w:val="nil"/>
              <w:tl2br w:val="nil"/>
              <w:tr2bl w:val="nil"/>
            </w:tcBorders>
            <w:noWrap/>
          </w:tcPr>
          <w:p w14:paraId="13242348">
            <w:pPr>
              <w:widowControl/>
              <w:wordWrap/>
              <w:spacing w:after="120" w:line="360" w:lineRule="exact"/>
              <w:jc w:val="cente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t>Pre-Treatment Average OPG</w:t>
            </w:r>
          </w:p>
        </w:tc>
        <w:tc>
          <w:tcPr>
            <w:tcW w:w="1186" w:type="pct"/>
            <w:tcBorders>
              <w:top w:val="single" w:color="auto" w:sz="12" w:space="0"/>
              <w:bottom w:val="single" w:color="auto" w:sz="6" w:space="0"/>
              <w:right w:val="nil"/>
              <w:insideH w:val="single" w:sz="6" w:space="0"/>
              <w:insideV w:val="nil"/>
              <w:tl2br w:val="nil"/>
              <w:tr2bl w:val="nil"/>
            </w:tcBorders>
            <w:noWrap/>
          </w:tcPr>
          <w:p w14:paraId="28DCA0F8">
            <w:pPr>
              <w:widowControl/>
              <w:wordWrap/>
              <w:spacing w:after="120" w:line="360" w:lineRule="exact"/>
              <w:jc w:val="cente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t>Post-Treatment Positive Rate (%)</w:t>
            </w:r>
          </w:p>
        </w:tc>
        <w:tc>
          <w:tcPr>
            <w:tcW w:w="1189" w:type="pct"/>
            <w:tcBorders>
              <w:top w:val="single" w:color="auto" w:sz="12" w:space="0"/>
              <w:bottom w:val="single" w:color="auto" w:sz="6" w:space="0"/>
              <w:right w:val="nil"/>
              <w:insideH w:val="single" w:sz="6" w:space="0"/>
              <w:insideV w:val="nil"/>
              <w:tl2br w:val="nil"/>
              <w:tr2bl w:val="nil"/>
            </w:tcBorders>
            <w:noWrap/>
          </w:tcPr>
          <w:p w14:paraId="657602C3">
            <w:pPr>
              <w:widowControl/>
              <w:wordWrap/>
              <w:spacing w:after="120" w:line="360" w:lineRule="exact"/>
              <w:jc w:val="cente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b w:val="0"/>
                <w:i w:val="0"/>
                <w:color w:val="000000" w:themeColor="text1"/>
                <w:kern w:val="0"/>
                <w:sz w:val="18"/>
                <w:szCs w:val="18"/>
                <w:highlight w:val="none"/>
                <w14:textFill>
                  <w14:solidFill>
                    <w14:schemeClr w14:val="tx1"/>
                  </w14:solidFill>
                </w14:textFill>
                <w14:ligatures w14:val="none"/>
              </w:rPr>
              <w:t>Post-Treatment Average OPG</w:t>
            </w:r>
          </w:p>
        </w:tc>
      </w:tr>
      <w:tr w14:paraId="5EB5C35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317" w:type="pct"/>
            <w:noWrap/>
          </w:tcPr>
          <w:p w14:paraId="75602EC9">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A</w:t>
            </w:r>
          </w:p>
        </w:tc>
        <w:tc>
          <w:tcPr>
            <w:tcW w:w="1153" w:type="pct"/>
            <w:noWrap/>
          </w:tcPr>
          <w:p w14:paraId="2B4AE324">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100 (19/19)</w:t>
            </w:r>
          </w:p>
        </w:tc>
        <w:tc>
          <w:tcPr>
            <w:tcW w:w="1155" w:type="pct"/>
            <w:noWrap/>
          </w:tcPr>
          <w:p w14:paraId="3019CC89">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1205.42</w:t>
            </w:r>
          </w:p>
        </w:tc>
        <w:tc>
          <w:tcPr>
            <w:tcW w:w="1186" w:type="pct"/>
            <w:noWrap/>
          </w:tcPr>
          <w:p w14:paraId="0BD9D613">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10.53 (2/19)</w:t>
            </w:r>
          </w:p>
        </w:tc>
        <w:tc>
          <w:tcPr>
            <w:tcW w:w="1189" w:type="pct"/>
            <w:noWrap/>
          </w:tcPr>
          <w:p w14:paraId="02B11473">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20.63</w:t>
            </w:r>
          </w:p>
        </w:tc>
      </w:tr>
      <w:tr w14:paraId="1BAE325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317" w:type="pct"/>
            <w:noWrap/>
          </w:tcPr>
          <w:p w14:paraId="7F617B06">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B</w:t>
            </w:r>
          </w:p>
        </w:tc>
        <w:tc>
          <w:tcPr>
            <w:tcW w:w="1153" w:type="pct"/>
            <w:noWrap/>
          </w:tcPr>
          <w:p w14:paraId="3B4BECF6">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100 (40/40)</w:t>
            </w:r>
          </w:p>
        </w:tc>
        <w:tc>
          <w:tcPr>
            <w:tcW w:w="1155" w:type="pct"/>
            <w:noWrap/>
          </w:tcPr>
          <w:p w14:paraId="42BBBE63">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1040.00</w:t>
            </w:r>
          </w:p>
        </w:tc>
        <w:tc>
          <w:tcPr>
            <w:tcW w:w="1186" w:type="pct"/>
            <w:noWrap/>
          </w:tcPr>
          <w:p w14:paraId="6F7C94D1">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7.50 (3/40)</w:t>
            </w:r>
          </w:p>
        </w:tc>
        <w:tc>
          <w:tcPr>
            <w:tcW w:w="1189" w:type="pct"/>
            <w:noWrap/>
          </w:tcPr>
          <w:p w14:paraId="4FC4CD7C">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17.50</w:t>
            </w:r>
          </w:p>
        </w:tc>
      </w:tr>
      <w:tr w14:paraId="32521E9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317" w:type="pct"/>
            <w:noWrap/>
          </w:tcPr>
          <w:p w14:paraId="39DB925C">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C</w:t>
            </w:r>
          </w:p>
        </w:tc>
        <w:tc>
          <w:tcPr>
            <w:tcW w:w="1153" w:type="pct"/>
            <w:noWrap/>
          </w:tcPr>
          <w:p w14:paraId="1C9237FA">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100 (67/67)</w:t>
            </w:r>
          </w:p>
        </w:tc>
        <w:tc>
          <w:tcPr>
            <w:tcW w:w="1155" w:type="pct"/>
            <w:noWrap/>
          </w:tcPr>
          <w:p w14:paraId="5508F4BC">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998.51</w:t>
            </w:r>
          </w:p>
        </w:tc>
        <w:tc>
          <w:tcPr>
            <w:tcW w:w="1186" w:type="pct"/>
            <w:noWrap/>
          </w:tcPr>
          <w:p w14:paraId="74D39EEB">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8.96 (6/67)</w:t>
            </w:r>
          </w:p>
        </w:tc>
        <w:tc>
          <w:tcPr>
            <w:tcW w:w="1189" w:type="pct"/>
            <w:noWrap/>
          </w:tcPr>
          <w:p w14:paraId="459F8E58">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13.43</w:t>
            </w:r>
          </w:p>
        </w:tc>
      </w:tr>
      <w:tr w14:paraId="6B4729C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317" w:type="pct"/>
            <w:noWrap/>
          </w:tcPr>
          <w:p w14:paraId="338FBB18">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D</w:t>
            </w:r>
          </w:p>
        </w:tc>
        <w:tc>
          <w:tcPr>
            <w:tcW w:w="1153" w:type="pct"/>
            <w:noWrap/>
          </w:tcPr>
          <w:p w14:paraId="7CF9CB01">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100 (188/188)</w:t>
            </w:r>
          </w:p>
        </w:tc>
        <w:tc>
          <w:tcPr>
            <w:tcW w:w="1155" w:type="pct"/>
            <w:noWrap/>
          </w:tcPr>
          <w:p w14:paraId="40C2C5A0">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1181.38</w:t>
            </w:r>
          </w:p>
        </w:tc>
        <w:tc>
          <w:tcPr>
            <w:tcW w:w="1186" w:type="pct"/>
            <w:noWrap/>
          </w:tcPr>
          <w:p w14:paraId="45DB1529">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10.11 (19/188)</w:t>
            </w:r>
          </w:p>
        </w:tc>
        <w:tc>
          <w:tcPr>
            <w:tcW w:w="1189" w:type="pct"/>
            <w:noWrap/>
          </w:tcPr>
          <w:p w14:paraId="171B68CC">
            <w:pPr>
              <w:widowControl/>
              <w:spacing w:after="120"/>
              <w:jc w:val="cente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pPr>
            <w:r>
              <w:rPr>
                <w:rFonts w:ascii="Times New Roman" w:hAnsi="Times New Roman" w:eastAsia="宋体" w:cs="Times New Roman"/>
                <w:color w:val="000000" w:themeColor="text1"/>
                <w:kern w:val="0"/>
                <w:sz w:val="18"/>
                <w:szCs w:val="18"/>
                <w:highlight w:val="none"/>
                <w14:textFill>
                  <w14:solidFill>
                    <w14:schemeClr w14:val="tx1"/>
                  </w14:solidFill>
                </w14:textFill>
                <w14:ligatures w14:val="none"/>
              </w:rPr>
              <w:t>24.47</w:t>
            </w:r>
          </w:p>
        </w:tc>
      </w:tr>
    </w:tbl>
    <w:p w14:paraId="796AA01A">
      <w:pPr>
        <w:widowControl/>
        <w:spacing w:line="276" w:lineRule="auto"/>
        <w:jc w:val="left"/>
        <w:rPr>
          <w:rFonts w:ascii="宋体" w:hAnsi="宋体" w:eastAsia="宋体" w:cs="宋体"/>
          <w:color w:val="000000" w:themeColor="text1"/>
          <w:kern w:val="0"/>
          <w:sz w:val="24"/>
          <w:highlight w:val="none"/>
          <w14:textFill>
            <w14:solidFill>
              <w14:schemeClr w14:val="tx1"/>
            </w14:solidFill>
          </w14:textFill>
          <w14:ligatures w14:val="none"/>
        </w:rPr>
      </w:pPr>
    </w:p>
    <w:p w14:paraId="7264FC07">
      <w:pPr>
        <w:widowControl/>
        <w:spacing w:line="276" w:lineRule="auto"/>
        <w:jc w:val="left"/>
        <w:rPr>
          <w:rFonts w:ascii="宋体" w:hAnsi="宋体" w:eastAsia="宋体" w:cs="宋体"/>
          <w:color w:val="000000" w:themeColor="text1"/>
          <w:kern w:val="0"/>
          <w:sz w:val="24"/>
          <w:highlight w:val="none"/>
          <w14:textFill>
            <w14:solidFill>
              <w14:schemeClr w14:val="tx1"/>
            </w14:solidFill>
          </w14:textFill>
          <w14:ligatures w14:val="none"/>
        </w:rPr>
      </w:pPr>
    </w:p>
    <w:p w14:paraId="76792EC1">
      <w:pPr>
        <w:widowControl/>
        <w:spacing w:line="276" w:lineRule="auto"/>
        <w:ind w:firstLine="630" w:firstLineChars="300"/>
        <w:jc w:val="center"/>
        <w:rPr>
          <w:rFonts w:ascii="宋体" w:hAnsi="宋体" w:eastAsia="宋体" w:cs="宋体"/>
          <w:color w:val="000000" w:themeColor="text1"/>
          <w:kern w:val="0"/>
          <w:sz w:val="21"/>
          <w:szCs w:val="21"/>
          <w:highlight w:val="none"/>
          <w14:textFill>
            <w14:solidFill>
              <w14:schemeClr w14:val="tx1"/>
            </w14:solidFill>
          </w14:textFill>
          <w14:ligatures w14:val="none"/>
        </w:rPr>
      </w:pPr>
      <w:bookmarkStart w:id="6" w:name="OLE_LINK181"/>
      <w:bookmarkStart w:id="7" w:name="OLE_LINK182"/>
      <w:r>
        <w:rPr>
          <w:rFonts w:hint="eastAsia" w:ascii="宋体" w:hAnsi="宋体" w:eastAsia="宋体" w:cs="宋体"/>
          <w:color w:val="000000" w:themeColor="text1"/>
          <w:kern w:val="0"/>
          <w:sz w:val="21"/>
          <w:szCs w:val="21"/>
          <w:highlight w:val="none"/>
          <w14:textFill>
            <w14:solidFill>
              <w14:schemeClr w14:val="tx1"/>
            </w14:solidFill>
          </w14:textFill>
          <w14:ligatures w14:val="none"/>
        </w:rPr>
        <w:t>表</w:t>
      </w:r>
      <w:r>
        <w:rPr>
          <w:rFonts w:hint="eastAsia" w:ascii="宋体" w:hAnsi="宋体" w:eastAsia="宋体" w:cs="宋体"/>
          <w:color w:val="000000" w:themeColor="text1"/>
          <w:kern w:val="0"/>
          <w:sz w:val="21"/>
          <w:szCs w:val="21"/>
          <w:highlight w:val="none"/>
          <w:lang w:val="en-US" w:eastAsia="zh-CN"/>
          <w14:textFill>
            <w14:solidFill>
              <w14:schemeClr w14:val="tx1"/>
            </w14:solidFill>
          </w14:textFill>
          <w14:ligatures w14:val="none"/>
        </w:rPr>
        <w:t>5</w:t>
      </w:r>
      <w:r>
        <w:rPr>
          <w:rFonts w:hint="eastAsia" w:ascii="宋体" w:hAnsi="宋体" w:eastAsia="宋体" w:cs="宋体"/>
          <w:color w:val="000000" w:themeColor="text1"/>
          <w:kern w:val="0"/>
          <w:sz w:val="21"/>
          <w:szCs w:val="21"/>
          <w:highlight w:val="none"/>
          <w14:textFill>
            <w14:solidFill>
              <w14:schemeClr w14:val="tx1"/>
            </w14:solidFill>
          </w14:textFill>
          <w14:ligatures w14:val="none"/>
        </w:rPr>
        <w:t>实验组和对照组各月龄犊牛球虫感染率变化</w:t>
      </w:r>
    </w:p>
    <w:bookmarkEnd w:id="6"/>
    <w:bookmarkEnd w:id="7"/>
    <w:tbl>
      <w:tblPr>
        <w:tblStyle w:val="13"/>
        <w:tblW w:w="8505" w:type="dxa"/>
        <w:jc w:val="center"/>
        <w:tblLayout w:type="fixed"/>
        <w:tblCellMar>
          <w:top w:w="0" w:type="dxa"/>
          <w:left w:w="108" w:type="dxa"/>
          <w:bottom w:w="0" w:type="dxa"/>
          <w:right w:w="108" w:type="dxa"/>
        </w:tblCellMar>
      </w:tblPr>
      <w:tblGrid>
        <w:gridCol w:w="877"/>
        <w:gridCol w:w="1197"/>
        <w:gridCol w:w="1156"/>
        <w:gridCol w:w="236"/>
        <w:gridCol w:w="1272"/>
        <w:gridCol w:w="1214"/>
        <w:gridCol w:w="236"/>
        <w:gridCol w:w="1183"/>
        <w:gridCol w:w="1134"/>
      </w:tblGrid>
      <w:tr w14:paraId="6C2113E4">
        <w:tblPrEx>
          <w:tblCellMar>
            <w:top w:w="0" w:type="dxa"/>
            <w:left w:w="108" w:type="dxa"/>
            <w:bottom w:w="0" w:type="dxa"/>
            <w:right w:w="108" w:type="dxa"/>
          </w:tblCellMar>
        </w:tblPrEx>
        <w:trPr>
          <w:trHeight w:val="340" w:hRule="atLeast"/>
          <w:jc w:val="center"/>
        </w:trPr>
        <w:tc>
          <w:tcPr>
            <w:tcW w:w="877" w:type="dxa"/>
            <w:vMerge w:val="restart"/>
            <w:tcBorders>
              <w:top w:val="single" w:color="auto" w:sz="12" w:space="0"/>
              <w:left w:val="nil"/>
              <w:bottom w:val="nil"/>
              <w:right w:val="nil"/>
            </w:tcBorders>
            <w:shd w:val="clear" w:color="auto" w:fill="auto"/>
            <w:vAlign w:val="center"/>
          </w:tcPr>
          <w:p w14:paraId="434C4511">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Age in months</w:t>
            </w:r>
          </w:p>
        </w:tc>
        <w:tc>
          <w:tcPr>
            <w:tcW w:w="2353" w:type="dxa"/>
            <w:gridSpan w:val="2"/>
            <w:vMerge w:val="restart"/>
            <w:tcBorders>
              <w:top w:val="single" w:color="auto" w:sz="12" w:space="0"/>
              <w:left w:val="nil"/>
              <w:bottom w:val="single" w:color="000000" w:sz="8" w:space="0"/>
              <w:right w:val="nil"/>
            </w:tcBorders>
            <w:shd w:val="clear" w:color="auto" w:fill="auto"/>
            <w:vAlign w:val="center"/>
          </w:tcPr>
          <w:p w14:paraId="27A2415E">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Traditional Chinese medicine group（%）</w:t>
            </w:r>
          </w:p>
        </w:tc>
        <w:tc>
          <w:tcPr>
            <w:tcW w:w="236" w:type="dxa"/>
            <w:tcBorders>
              <w:top w:val="single" w:color="auto" w:sz="12" w:space="0"/>
              <w:left w:val="nil"/>
              <w:bottom w:val="nil"/>
              <w:right w:val="nil"/>
            </w:tcBorders>
            <w:shd w:val="clear" w:color="auto" w:fill="auto"/>
            <w:vAlign w:val="center"/>
          </w:tcPr>
          <w:p w14:paraId="6B1977E3">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　</w:t>
            </w:r>
          </w:p>
        </w:tc>
        <w:tc>
          <w:tcPr>
            <w:tcW w:w="2486" w:type="dxa"/>
            <w:gridSpan w:val="2"/>
            <w:vMerge w:val="restart"/>
            <w:tcBorders>
              <w:top w:val="single" w:color="auto" w:sz="12" w:space="0"/>
              <w:left w:val="nil"/>
              <w:bottom w:val="single" w:color="000000" w:sz="8" w:space="0"/>
              <w:right w:val="nil"/>
            </w:tcBorders>
            <w:shd w:val="clear" w:color="auto" w:fill="auto"/>
            <w:vAlign w:val="center"/>
          </w:tcPr>
          <w:p w14:paraId="30EF1AAE">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The toltrazuril group（%）</w:t>
            </w:r>
          </w:p>
        </w:tc>
        <w:tc>
          <w:tcPr>
            <w:tcW w:w="236" w:type="dxa"/>
            <w:tcBorders>
              <w:top w:val="single" w:color="auto" w:sz="12" w:space="0"/>
              <w:left w:val="nil"/>
              <w:bottom w:val="nil"/>
              <w:right w:val="nil"/>
            </w:tcBorders>
            <w:shd w:val="clear" w:color="auto" w:fill="auto"/>
            <w:vAlign w:val="center"/>
          </w:tcPr>
          <w:p w14:paraId="3E00767D">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　</w:t>
            </w:r>
          </w:p>
        </w:tc>
        <w:tc>
          <w:tcPr>
            <w:tcW w:w="2317" w:type="dxa"/>
            <w:gridSpan w:val="2"/>
            <w:vMerge w:val="restart"/>
            <w:tcBorders>
              <w:top w:val="single" w:color="auto" w:sz="12" w:space="0"/>
              <w:left w:val="nil"/>
              <w:bottom w:val="single" w:color="000000" w:sz="8" w:space="0"/>
              <w:right w:val="nil"/>
            </w:tcBorders>
            <w:shd w:val="clear" w:color="auto" w:fill="auto"/>
            <w:vAlign w:val="center"/>
          </w:tcPr>
          <w:p w14:paraId="1F6C3ED2">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Control group（%）</w:t>
            </w:r>
          </w:p>
        </w:tc>
      </w:tr>
      <w:tr w14:paraId="10F5D271">
        <w:tblPrEx>
          <w:tblCellMar>
            <w:top w:w="0" w:type="dxa"/>
            <w:left w:w="108" w:type="dxa"/>
            <w:bottom w:w="0" w:type="dxa"/>
            <w:right w:w="108" w:type="dxa"/>
          </w:tblCellMar>
        </w:tblPrEx>
        <w:trPr>
          <w:trHeight w:val="340" w:hRule="atLeast"/>
          <w:jc w:val="center"/>
        </w:trPr>
        <w:tc>
          <w:tcPr>
            <w:tcW w:w="877" w:type="dxa"/>
            <w:vMerge w:val="continue"/>
            <w:tcBorders>
              <w:top w:val="single" w:color="auto" w:sz="12" w:space="0"/>
              <w:left w:val="nil"/>
              <w:bottom w:val="nil"/>
              <w:right w:val="nil"/>
            </w:tcBorders>
            <w:vAlign w:val="center"/>
          </w:tcPr>
          <w:p w14:paraId="648D471E">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2353" w:type="dxa"/>
            <w:gridSpan w:val="2"/>
            <w:vMerge w:val="continue"/>
            <w:tcBorders>
              <w:top w:val="single" w:color="auto" w:sz="12" w:space="0"/>
              <w:left w:val="nil"/>
              <w:bottom w:val="single" w:color="000000" w:sz="8" w:space="0"/>
              <w:right w:val="nil"/>
            </w:tcBorders>
            <w:vAlign w:val="center"/>
          </w:tcPr>
          <w:p w14:paraId="47585E59">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236" w:type="dxa"/>
            <w:tcBorders>
              <w:top w:val="nil"/>
              <w:left w:val="nil"/>
              <w:bottom w:val="nil"/>
              <w:right w:val="nil"/>
            </w:tcBorders>
            <w:shd w:val="clear" w:color="auto" w:fill="auto"/>
            <w:vAlign w:val="center"/>
          </w:tcPr>
          <w:p w14:paraId="396A2DE3">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2486" w:type="dxa"/>
            <w:gridSpan w:val="2"/>
            <w:vMerge w:val="continue"/>
            <w:tcBorders>
              <w:top w:val="nil"/>
              <w:left w:val="nil"/>
              <w:bottom w:val="single" w:color="auto" w:sz="6" w:space="0"/>
              <w:right w:val="nil"/>
            </w:tcBorders>
            <w:vAlign w:val="center"/>
          </w:tcPr>
          <w:p w14:paraId="70529E9D">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236" w:type="dxa"/>
            <w:tcBorders>
              <w:top w:val="nil"/>
              <w:left w:val="nil"/>
              <w:bottom w:val="nil"/>
              <w:right w:val="nil"/>
            </w:tcBorders>
            <w:shd w:val="clear" w:color="auto" w:fill="auto"/>
            <w:vAlign w:val="center"/>
          </w:tcPr>
          <w:p w14:paraId="0B4DDFCF">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Times New Roman" w:cs="Times New Roman"/>
                <w:color w:val="000000" w:themeColor="text1"/>
                <w:kern w:val="0"/>
                <w:sz w:val="18"/>
                <w:szCs w:val="18"/>
                <w:highlight w:val="none"/>
                <w14:textFill>
                  <w14:solidFill>
                    <w14:schemeClr w14:val="tx1"/>
                  </w14:solidFill>
                </w14:textFill>
                <w14:ligatures w14:val="none"/>
              </w:rPr>
            </w:pPr>
          </w:p>
        </w:tc>
        <w:tc>
          <w:tcPr>
            <w:tcW w:w="2317" w:type="dxa"/>
            <w:gridSpan w:val="2"/>
            <w:vMerge w:val="continue"/>
            <w:tcBorders>
              <w:top w:val="nil"/>
              <w:left w:val="nil"/>
              <w:bottom w:val="single" w:color="auto" w:sz="6" w:space="0"/>
              <w:right w:val="nil"/>
            </w:tcBorders>
            <w:vAlign w:val="center"/>
          </w:tcPr>
          <w:p w14:paraId="3DEE9884">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r>
      <w:tr w14:paraId="4D5B37AD">
        <w:tblPrEx>
          <w:tblCellMar>
            <w:top w:w="0" w:type="dxa"/>
            <w:left w:w="108" w:type="dxa"/>
            <w:bottom w:w="0" w:type="dxa"/>
            <w:right w:w="108" w:type="dxa"/>
          </w:tblCellMar>
        </w:tblPrEx>
        <w:trPr>
          <w:trHeight w:val="320" w:hRule="atLeast"/>
          <w:jc w:val="center"/>
        </w:trPr>
        <w:tc>
          <w:tcPr>
            <w:tcW w:w="877" w:type="dxa"/>
            <w:vMerge w:val="continue"/>
            <w:tcBorders>
              <w:top w:val="single" w:color="auto" w:sz="12" w:space="0"/>
              <w:left w:val="nil"/>
              <w:bottom w:val="single" w:color="auto" w:sz="6" w:space="0"/>
              <w:right w:val="nil"/>
            </w:tcBorders>
            <w:vAlign w:val="center"/>
          </w:tcPr>
          <w:p w14:paraId="1B0A4936">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197" w:type="dxa"/>
            <w:tcBorders>
              <w:top w:val="nil"/>
              <w:left w:val="nil"/>
              <w:bottom w:val="single" w:color="auto" w:sz="6" w:space="0"/>
              <w:right w:val="nil"/>
            </w:tcBorders>
            <w:shd w:val="clear" w:color="auto" w:fill="auto"/>
            <w:vAlign w:val="center"/>
          </w:tcPr>
          <w:p w14:paraId="3E6D0D7B">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Before the test</w:t>
            </w:r>
          </w:p>
        </w:tc>
        <w:tc>
          <w:tcPr>
            <w:tcW w:w="1156" w:type="dxa"/>
            <w:tcBorders>
              <w:top w:val="nil"/>
              <w:left w:val="nil"/>
              <w:bottom w:val="single" w:color="auto" w:sz="6" w:space="0"/>
              <w:right w:val="nil"/>
            </w:tcBorders>
            <w:shd w:val="clear" w:color="auto" w:fill="auto"/>
            <w:vAlign w:val="center"/>
          </w:tcPr>
          <w:p w14:paraId="1F6FD4DC">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bookmarkStart w:id="8" w:name="OLE_LINK128"/>
            <w:bookmarkStart w:id="9" w:name="OLE_LINK127"/>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After the test</w:t>
            </w:r>
            <w:bookmarkEnd w:id="8"/>
            <w:bookmarkEnd w:id="9"/>
          </w:p>
        </w:tc>
        <w:tc>
          <w:tcPr>
            <w:tcW w:w="236" w:type="dxa"/>
            <w:tcBorders>
              <w:top w:val="nil"/>
              <w:left w:val="nil"/>
              <w:bottom w:val="single" w:color="auto" w:sz="6" w:space="0"/>
              <w:right w:val="nil"/>
            </w:tcBorders>
            <w:shd w:val="clear" w:color="auto" w:fill="auto"/>
            <w:vAlign w:val="center"/>
          </w:tcPr>
          <w:p w14:paraId="7052A1E7">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2" w:type="dxa"/>
            <w:tcBorders>
              <w:top w:val="single" w:color="auto" w:sz="6" w:space="0"/>
              <w:left w:val="nil"/>
              <w:bottom w:val="single" w:color="auto" w:sz="6" w:space="0"/>
              <w:right w:val="nil"/>
            </w:tcBorders>
            <w:shd w:val="clear" w:color="auto" w:fill="auto"/>
            <w:vAlign w:val="center"/>
          </w:tcPr>
          <w:p w14:paraId="0A0B6BDC">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Before the test</w:t>
            </w:r>
          </w:p>
        </w:tc>
        <w:tc>
          <w:tcPr>
            <w:tcW w:w="1214" w:type="dxa"/>
            <w:tcBorders>
              <w:top w:val="single" w:color="auto" w:sz="6" w:space="0"/>
              <w:left w:val="nil"/>
              <w:bottom w:val="single" w:color="auto" w:sz="6" w:space="0"/>
              <w:right w:val="nil"/>
            </w:tcBorders>
            <w:shd w:val="clear" w:color="auto" w:fill="auto"/>
            <w:vAlign w:val="center"/>
          </w:tcPr>
          <w:p w14:paraId="07CC60CB">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After the test</w:t>
            </w:r>
          </w:p>
        </w:tc>
        <w:tc>
          <w:tcPr>
            <w:tcW w:w="236" w:type="dxa"/>
            <w:tcBorders>
              <w:top w:val="nil"/>
              <w:left w:val="nil"/>
              <w:bottom w:val="single" w:color="auto" w:sz="6" w:space="0"/>
              <w:right w:val="nil"/>
            </w:tcBorders>
            <w:shd w:val="clear" w:color="auto" w:fill="auto"/>
            <w:vAlign w:val="center"/>
          </w:tcPr>
          <w:p w14:paraId="19148ED1">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183" w:type="dxa"/>
            <w:tcBorders>
              <w:top w:val="single" w:color="auto" w:sz="6" w:space="0"/>
              <w:left w:val="nil"/>
              <w:bottom w:val="single" w:color="auto" w:sz="6" w:space="0"/>
              <w:right w:val="nil"/>
            </w:tcBorders>
            <w:shd w:val="clear" w:color="auto" w:fill="auto"/>
            <w:vAlign w:val="center"/>
          </w:tcPr>
          <w:p w14:paraId="53162774">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Before the test</w:t>
            </w:r>
          </w:p>
        </w:tc>
        <w:tc>
          <w:tcPr>
            <w:tcW w:w="1134" w:type="dxa"/>
            <w:tcBorders>
              <w:top w:val="single" w:color="auto" w:sz="6" w:space="0"/>
              <w:left w:val="nil"/>
              <w:bottom w:val="single" w:color="auto" w:sz="6" w:space="0"/>
              <w:right w:val="nil"/>
            </w:tcBorders>
            <w:shd w:val="clear" w:color="auto" w:fill="auto"/>
            <w:vAlign w:val="center"/>
          </w:tcPr>
          <w:p w14:paraId="70890406">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After the test</w:t>
            </w:r>
          </w:p>
        </w:tc>
      </w:tr>
      <w:tr w14:paraId="258311EB">
        <w:tblPrEx>
          <w:tblCellMar>
            <w:top w:w="0" w:type="dxa"/>
            <w:left w:w="108" w:type="dxa"/>
            <w:bottom w:w="0" w:type="dxa"/>
            <w:right w:w="108" w:type="dxa"/>
          </w:tblCellMar>
        </w:tblPrEx>
        <w:trPr>
          <w:trHeight w:val="480" w:hRule="atLeast"/>
          <w:jc w:val="center"/>
        </w:trPr>
        <w:tc>
          <w:tcPr>
            <w:tcW w:w="877" w:type="dxa"/>
            <w:tcBorders>
              <w:top w:val="single" w:color="auto" w:sz="6" w:space="0"/>
              <w:left w:val="nil"/>
              <w:bottom w:val="nil"/>
              <w:right w:val="nil"/>
            </w:tcBorders>
            <w:shd w:val="clear" w:color="auto" w:fill="auto"/>
            <w:vAlign w:val="center"/>
          </w:tcPr>
          <w:p w14:paraId="6F247B5F">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1to 2</w:t>
            </w:r>
          </w:p>
        </w:tc>
        <w:tc>
          <w:tcPr>
            <w:tcW w:w="1197" w:type="dxa"/>
            <w:tcBorders>
              <w:top w:val="single" w:color="auto" w:sz="6" w:space="0"/>
              <w:left w:val="nil"/>
              <w:bottom w:val="nil"/>
              <w:right w:val="nil"/>
            </w:tcBorders>
            <w:shd w:val="clear" w:color="auto" w:fill="auto"/>
            <w:vAlign w:val="center"/>
          </w:tcPr>
          <w:p w14:paraId="4302005B">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156" w:type="dxa"/>
            <w:tcBorders>
              <w:top w:val="single" w:color="auto" w:sz="6" w:space="0"/>
              <w:left w:val="nil"/>
              <w:bottom w:val="nil"/>
              <w:right w:val="nil"/>
            </w:tcBorders>
            <w:shd w:val="clear" w:color="auto" w:fill="auto"/>
            <w:vAlign w:val="center"/>
          </w:tcPr>
          <w:p w14:paraId="7C0530AC">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11.63</w:t>
            </w:r>
          </w:p>
        </w:tc>
        <w:tc>
          <w:tcPr>
            <w:tcW w:w="236" w:type="dxa"/>
            <w:tcBorders>
              <w:top w:val="single" w:color="auto" w:sz="6" w:space="0"/>
              <w:left w:val="nil"/>
              <w:bottom w:val="nil"/>
              <w:right w:val="nil"/>
            </w:tcBorders>
            <w:shd w:val="clear" w:color="auto" w:fill="auto"/>
            <w:vAlign w:val="center"/>
          </w:tcPr>
          <w:p w14:paraId="775F8D71">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2" w:type="dxa"/>
            <w:tcBorders>
              <w:top w:val="single" w:color="auto" w:sz="6" w:space="0"/>
              <w:left w:val="nil"/>
              <w:bottom w:val="nil"/>
              <w:right w:val="nil"/>
            </w:tcBorders>
            <w:shd w:val="clear" w:color="auto" w:fill="auto"/>
            <w:vAlign w:val="center"/>
          </w:tcPr>
          <w:p w14:paraId="04C794CD">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214" w:type="dxa"/>
            <w:tcBorders>
              <w:top w:val="single" w:color="auto" w:sz="6" w:space="0"/>
              <w:left w:val="nil"/>
              <w:bottom w:val="nil"/>
              <w:right w:val="nil"/>
            </w:tcBorders>
            <w:shd w:val="clear" w:color="auto" w:fill="auto"/>
            <w:vAlign w:val="center"/>
          </w:tcPr>
          <w:p w14:paraId="387108AA">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5.00</w:t>
            </w:r>
          </w:p>
        </w:tc>
        <w:tc>
          <w:tcPr>
            <w:tcW w:w="236" w:type="dxa"/>
            <w:tcBorders>
              <w:top w:val="single" w:color="auto" w:sz="6" w:space="0"/>
              <w:left w:val="nil"/>
              <w:bottom w:val="nil"/>
              <w:right w:val="nil"/>
            </w:tcBorders>
            <w:shd w:val="clear" w:color="auto" w:fill="auto"/>
            <w:vAlign w:val="center"/>
          </w:tcPr>
          <w:p w14:paraId="23034F34">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183" w:type="dxa"/>
            <w:tcBorders>
              <w:top w:val="single" w:color="auto" w:sz="6" w:space="0"/>
              <w:left w:val="nil"/>
              <w:bottom w:val="nil"/>
              <w:right w:val="nil"/>
            </w:tcBorders>
            <w:shd w:val="clear" w:color="auto" w:fill="auto"/>
            <w:vAlign w:val="center"/>
          </w:tcPr>
          <w:p w14:paraId="22920E3A">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134" w:type="dxa"/>
            <w:tcBorders>
              <w:top w:val="single" w:color="auto" w:sz="6" w:space="0"/>
              <w:left w:val="nil"/>
              <w:bottom w:val="nil"/>
              <w:right w:val="nil"/>
            </w:tcBorders>
            <w:shd w:val="clear" w:color="auto" w:fill="auto"/>
            <w:vAlign w:val="center"/>
          </w:tcPr>
          <w:p w14:paraId="23CB332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r>
      <w:tr w14:paraId="53A8E0D9">
        <w:tblPrEx>
          <w:tblCellMar>
            <w:top w:w="0" w:type="dxa"/>
            <w:left w:w="108" w:type="dxa"/>
            <w:bottom w:w="0" w:type="dxa"/>
            <w:right w:w="108" w:type="dxa"/>
          </w:tblCellMar>
        </w:tblPrEx>
        <w:trPr>
          <w:trHeight w:val="480" w:hRule="atLeast"/>
          <w:jc w:val="center"/>
        </w:trPr>
        <w:tc>
          <w:tcPr>
            <w:tcW w:w="877" w:type="dxa"/>
            <w:tcBorders>
              <w:top w:val="nil"/>
              <w:left w:val="nil"/>
              <w:bottom w:val="nil"/>
              <w:right w:val="nil"/>
            </w:tcBorders>
            <w:shd w:val="clear" w:color="auto" w:fill="auto"/>
            <w:vAlign w:val="center"/>
          </w:tcPr>
          <w:p w14:paraId="3E86A4EB">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2.5 to 3</w:t>
            </w:r>
          </w:p>
        </w:tc>
        <w:tc>
          <w:tcPr>
            <w:tcW w:w="1197" w:type="dxa"/>
            <w:tcBorders>
              <w:top w:val="nil"/>
              <w:left w:val="nil"/>
              <w:bottom w:val="nil"/>
              <w:right w:val="nil"/>
            </w:tcBorders>
            <w:shd w:val="clear" w:color="auto" w:fill="auto"/>
            <w:vAlign w:val="center"/>
          </w:tcPr>
          <w:p w14:paraId="637849F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156" w:type="dxa"/>
            <w:tcBorders>
              <w:top w:val="nil"/>
              <w:left w:val="nil"/>
              <w:bottom w:val="nil"/>
              <w:right w:val="nil"/>
            </w:tcBorders>
            <w:shd w:val="clear" w:color="auto" w:fill="auto"/>
            <w:vAlign w:val="center"/>
          </w:tcPr>
          <w:p w14:paraId="7AC03F33">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9.30</w:t>
            </w:r>
          </w:p>
        </w:tc>
        <w:tc>
          <w:tcPr>
            <w:tcW w:w="236" w:type="dxa"/>
            <w:tcBorders>
              <w:top w:val="nil"/>
              <w:left w:val="nil"/>
              <w:bottom w:val="nil"/>
              <w:right w:val="nil"/>
            </w:tcBorders>
            <w:shd w:val="clear" w:color="auto" w:fill="auto"/>
            <w:vAlign w:val="center"/>
          </w:tcPr>
          <w:p w14:paraId="67997FE7">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2" w:type="dxa"/>
            <w:tcBorders>
              <w:top w:val="nil"/>
              <w:left w:val="nil"/>
              <w:bottom w:val="nil"/>
              <w:right w:val="nil"/>
            </w:tcBorders>
            <w:shd w:val="clear" w:color="auto" w:fill="auto"/>
            <w:vAlign w:val="center"/>
          </w:tcPr>
          <w:p w14:paraId="73B5DD53">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214" w:type="dxa"/>
            <w:tcBorders>
              <w:top w:val="nil"/>
              <w:left w:val="nil"/>
              <w:bottom w:val="nil"/>
              <w:right w:val="nil"/>
            </w:tcBorders>
            <w:shd w:val="clear" w:color="auto" w:fill="auto"/>
            <w:vAlign w:val="center"/>
          </w:tcPr>
          <w:p w14:paraId="36154410">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7.50</w:t>
            </w:r>
          </w:p>
        </w:tc>
        <w:tc>
          <w:tcPr>
            <w:tcW w:w="236" w:type="dxa"/>
            <w:tcBorders>
              <w:top w:val="nil"/>
              <w:left w:val="nil"/>
              <w:bottom w:val="nil"/>
              <w:right w:val="nil"/>
            </w:tcBorders>
            <w:shd w:val="clear" w:color="auto" w:fill="auto"/>
            <w:vAlign w:val="center"/>
          </w:tcPr>
          <w:p w14:paraId="7FA2EB37">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183" w:type="dxa"/>
            <w:tcBorders>
              <w:top w:val="nil"/>
              <w:left w:val="nil"/>
              <w:bottom w:val="nil"/>
              <w:right w:val="nil"/>
            </w:tcBorders>
            <w:shd w:val="clear" w:color="auto" w:fill="auto"/>
            <w:vAlign w:val="center"/>
          </w:tcPr>
          <w:p w14:paraId="18B20E27">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134" w:type="dxa"/>
            <w:tcBorders>
              <w:top w:val="nil"/>
              <w:left w:val="nil"/>
              <w:bottom w:val="nil"/>
              <w:right w:val="nil"/>
            </w:tcBorders>
            <w:shd w:val="clear" w:color="auto" w:fill="auto"/>
            <w:vAlign w:val="center"/>
          </w:tcPr>
          <w:p w14:paraId="1E3BCFE1">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r>
      <w:tr w14:paraId="4D8D93A0">
        <w:tblPrEx>
          <w:tblCellMar>
            <w:top w:w="0" w:type="dxa"/>
            <w:left w:w="108" w:type="dxa"/>
            <w:bottom w:w="0" w:type="dxa"/>
            <w:right w:w="108" w:type="dxa"/>
          </w:tblCellMar>
        </w:tblPrEx>
        <w:trPr>
          <w:trHeight w:val="480" w:hRule="atLeast"/>
          <w:jc w:val="center"/>
        </w:trPr>
        <w:tc>
          <w:tcPr>
            <w:tcW w:w="877" w:type="dxa"/>
            <w:tcBorders>
              <w:top w:val="nil"/>
              <w:left w:val="nil"/>
              <w:right w:val="nil"/>
            </w:tcBorders>
            <w:shd w:val="clear" w:color="auto" w:fill="auto"/>
            <w:vAlign w:val="center"/>
          </w:tcPr>
          <w:p w14:paraId="7984062B">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3 to 4</w:t>
            </w:r>
          </w:p>
        </w:tc>
        <w:tc>
          <w:tcPr>
            <w:tcW w:w="1197" w:type="dxa"/>
            <w:tcBorders>
              <w:top w:val="nil"/>
              <w:left w:val="nil"/>
              <w:right w:val="nil"/>
            </w:tcBorders>
            <w:shd w:val="clear" w:color="auto" w:fill="auto"/>
            <w:vAlign w:val="center"/>
          </w:tcPr>
          <w:p w14:paraId="164180EB">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156" w:type="dxa"/>
            <w:tcBorders>
              <w:top w:val="nil"/>
              <w:left w:val="nil"/>
              <w:right w:val="nil"/>
            </w:tcBorders>
            <w:shd w:val="clear" w:color="auto" w:fill="auto"/>
            <w:vAlign w:val="center"/>
          </w:tcPr>
          <w:p w14:paraId="7EC6D8D5">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7.32</w:t>
            </w:r>
          </w:p>
        </w:tc>
        <w:tc>
          <w:tcPr>
            <w:tcW w:w="236" w:type="dxa"/>
            <w:tcBorders>
              <w:top w:val="nil"/>
              <w:left w:val="nil"/>
              <w:right w:val="nil"/>
            </w:tcBorders>
            <w:shd w:val="clear" w:color="auto" w:fill="auto"/>
            <w:vAlign w:val="center"/>
          </w:tcPr>
          <w:p w14:paraId="4D5BF2A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2" w:type="dxa"/>
            <w:tcBorders>
              <w:top w:val="nil"/>
              <w:left w:val="nil"/>
              <w:right w:val="nil"/>
            </w:tcBorders>
            <w:shd w:val="clear" w:color="auto" w:fill="auto"/>
            <w:vAlign w:val="center"/>
          </w:tcPr>
          <w:p w14:paraId="19A741C6">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214" w:type="dxa"/>
            <w:tcBorders>
              <w:top w:val="nil"/>
              <w:left w:val="nil"/>
              <w:right w:val="nil"/>
            </w:tcBorders>
            <w:shd w:val="clear" w:color="auto" w:fill="auto"/>
            <w:vAlign w:val="center"/>
          </w:tcPr>
          <w:p w14:paraId="55E7A628">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7.50</w:t>
            </w:r>
          </w:p>
        </w:tc>
        <w:tc>
          <w:tcPr>
            <w:tcW w:w="236" w:type="dxa"/>
            <w:tcBorders>
              <w:top w:val="nil"/>
              <w:left w:val="nil"/>
              <w:right w:val="nil"/>
            </w:tcBorders>
            <w:shd w:val="clear" w:color="auto" w:fill="auto"/>
            <w:vAlign w:val="center"/>
          </w:tcPr>
          <w:p w14:paraId="49BA1990">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183" w:type="dxa"/>
            <w:tcBorders>
              <w:top w:val="nil"/>
              <w:left w:val="nil"/>
              <w:right w:val="nil"/>
            </w:tcBorders>
            <w:shd w:val="clear" w:color="auto" w:fill="auto"/>
            <w:vAlign w:val="center"/>
          </w:tcPr>
          <w:p w14:paraId="4C49E60B">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134" w:type="dxa"/>
            <w:tcBorders>
              <w:top w:val="nil"/>
              <w:left w:val="nil"/>
              <w:right w:val="nil"/>
            </w:tcBorders>
            <w:shd w:val="clear" w:color="auto" w:fill="auto"/>
            <w:vAlign w:val="center"/>
          </w:tcPr>
          <w:p w14:paraId="2BE7D74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r>
      <w:tr w14:paraId="3E261425">
        <w:tblPrEx>
          <w:tblCellMar>
            <w:top w:w="0" w:type="dxa"/>
            <w:left w:w="108" w:type="dxa"/>
            <w:bottom w:w="0" w:type="dxa"/>
            <w:right w:w="108" w:type="dxa"/>
          </w:tblCellMar>
        </w:tblPrEx>
        <w:trPr>
          <w:trHeight w:val="480" w:hRule="atLeast"/>
          <w:jc w:val="center"/>
        </w:trPr>
        <w:tc>
          <w:tcPr>
            <w:tcW w:w="877" w:type="dxa"/>
            <w:tcBorders>
              <w:top w:val="nil"/>
              <w:left w:val="nil"/>
              <w:bottom w:val="single" w:color="auto" w:sz="12" w:space="0"/>
              <w:right w:val="nil"/>
            </w:tcBorders>
            <w:shd w:val="clear" w:color="auto" w:fill="auto"/>
            <w:vAlign w:val="center"/>
          </w:tcPr>
          <w:p w14:paraId="4A98F38A">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6 to 7</w:t>
            </w:r>
          </w:p>
        </w:tc>
        <w:tc>
          <w:tcPr>
            <w:tcW w:w="1197" w:type="dxa"/>
            <w:tcBorders>
              <w:top w:val="nil"/>
              <w:left w:val="nil"/>
              <w:bottom w:val="single" w:color="auto" w:sz="12" w:space="0"/>
              <w:right w:val="nil"/>
            </w:tcBorders>
            <w:shd w:val="clear" w:color="auto" w:fill="auto"/>
            <w:vAlign w:val="center"/>
          </w:tcPr>
          <w:p w14:paraId="2785333A">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156" w:type="dxa"/>
            <w:tcBorders>
              <w:top w:val="nil"/>
              <w:left w:val="nil"/>
              <w:bottom w:val="single" w:color="auto" w:sz="12" w:space="0"/>
              <w:right w:val="nil"/>
            </w:tcBorders>
            <w:shd w:val="clear" w:color="auto" w:fill="auto"/>
            <w:vAlign w:val="center"/>
          </w:tcPr>
          <w:p w14:paraId="47B7F9D4">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11.48</w:t>
            </w:r>
          </w:p>
        </w:tc>
        <w:tc>
          <w:tcPr>
            <w:tcW w:w="236" w:type="dxa"/>
            <w:tcBorders>
              <w:top w:val="nil"/>
              <w:left w:val="nil"/>
              <w:bottom w:val="single" w:color="auto" w:sz="12" w:space="0"/>
              <w:right w:val="nil"/>
            </w:tcBorders>
            <w:shd w:val="clear" w:color="auto" w:fill="auto"/>
            <w:vAlign w:val="center"/>
          </w:tcPr>
          <w:p w14:paraId="0E90EE32">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2" w:type="dxa"/>
            <w:tcBorders>
              <w:top w:val="nil"/>
              <w:left w:val="nil"/>
              <w:bottom w:val="single" w:color="auto" w:sz="12" w:space="0"/>
              <w:right w:val="nil"/>
            </w:tcBorders>
            <w:shd w:val="clear" w:color="auto" w:fill="auto"/>
            <w:vAlign w:val="center"/>
          </w:tcPr>
          <w:p w14:paraId="38DC332D">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214" w:type="dxa"/>
            <w:tcBorders>
              <w:top w:val="nil"/>
              <w:left w:val="nil"/>
              <w:bottom w:val="single" w:color="auto" w:sz="12" w:space="0"/>
              <w:right w:val="nil"/>
            </w:tcBorders>
            <w:shd w:val="clear" w:color="auto" w:fill="auto"/>
            <w:vAlign w:val="center"/>
          </w:tcPr>
          <w:p w14:paraId="4155BC54">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8.33</w:t>
            </w:r>
          </w:p>
        </w:tc>
        <w:tc>
          <w:tcPr>
            <w:tcW w:w="236" w:type="dxa"/>
            <w:tcBorders>
              <w:top w:val="nil"/>
              <w:left w:val="nil"/>
              <w:bottom w:val="single" w:color="auto" w:sz="12" w:space="0"/>
              <w:right w:val="nil"/>
            </w:tcBorders>
            <w:shd w:val="clear" w:color="auto" w:fill="auto"/>
            <w:vAlign w:val="center"/>
          </w:tcPr>
          <w:p w14:paraId="48258364">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183" w:type="dxa"/>
            <w:tcBorders>
              <w:top w:val="nil"/>
              <w:left w:val="nil"/>
              <w:bottom w:val="single" w:color="auto" w:sz="12" w:space="0"/>
              <w:right w:val="nil"/>
            </w:tcBorders>
            <w:shd w:val="clear" w:color="auto" w:fill="auto"/>
            <w:vAlign w:val="center"/>
          </w:tcPr>
          <w:p w14:paraId="7C9A7B05">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100</w:t>
            </w:r>
          </w:p>
        </w:tc>
        <w:tc>
          <w:tcPr>
            <w:tcW w:w="1134" w:type="dxa"/>
            <w:tcBorders>
              <w:top w:val="nil"/>
              <w:left w:val="nil"/>
              <w:bottom w:val="single" w:color="auto" w:sz="12" w:space="0"/>
              <w:right w:val="nil"/>
            </w:tcBorders>
            <w:shd w:val="clear" w:color="auto" w:fill="auto"/>
            <w:vAlign w:val="center"/>
          </w:tcPr>
          <w:p w14:paraId="0D15EB58">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97.22</w:t>
            </w:r>
          </w:p>
        </w:tc>
      </w:tr>
    </w:tbl>
    <w:p w14:paraId="57B10921">
      <w:pPr>
        <w:widowControl/>
        <w:spacing w:line="276" w:lineRule="auto"/>
        <w:jc w:val="left"/>
        <w:rPr>
          <w:rFonts w:ascii="宋体" w:hAnsi="宋体" w:eastAsia="宋体" w:cs="宋体"/>
          <w:color w:val="000000" w:themeColor="text1"/>
          <w:kern w:val="0"/>
          <w:sz w:val="24"/>
          <w:highlight w:val="none"/>
          <w14:textFill>
            <w14:solidFill>
              <w14:schemeClr w14:val="tx1"/>
            </w14:solidFill>
          </w14:textFill>
          <w14:ligatures w14:val="none"/>
        </w:rPr>
      </w:pPr>
    </w:p>
    <w:p w14:paraId="7A4CF2F4">
      <w:pPr>
        <w:widowControl/>
        <w:spacing w:line="276" w:lineRule="auto"/>
        <w:ind w:firstLine="420" w:firstLineChars="200"/>
        <w:jc w:val="center"/>
        <w:rPr>
          <w:rFonts w:hint="eastAsia" w:ascii="宋体" w:hAnsi="宋体" w:eastAsia="宋体" w:cs="宋体"/>
          <w:color w:val="000000" w:themeColor="text1"/>
          <w:kern w:val="0"/>
          <w:sz w:val="21"/>
          <w:szCs w:val="21"/>
          <w:highlight w:val="none"/>
          <w14:textFill>
            <w14:solidFill>
              <w14:schemeClr w14:val="tx1"/>
            </w14:solidFill>
          </w14:textFill>
          <w14:ligatures w14:val="none"/>
        </w:rPr>
      </w:pPr>
    </w:p>
    <w:p w14:paraId="1BFA2A66">
      <w:pPr>
        <w:widowControl/>
        <w:spacing w:line="276" w:lineRule="auto"/>
        <w:ind w:firstLine="420" w:firstLineChars="200"/>
        <w:jc w:val="center"/>
        <w:rPr>
          <w:rFonts w:hint="eastAsia" w:ascii="宋体" w:hAnsi="宋体" w:eastAsia="宋体" w:cs="宋体"/>
          <w:color w:val="000000" w:themeColor="text1"/>
          <w:kern w:val="0"/>
          <w:sz w:val="21"/>
          <w:szCs w:val="21"/>
          <w:highlight w:val="none"/>
          <w14:textFill>
            <w14:solidFill>
              <w14:schemeClr w14:val="tx1"/>
            </w14:solidFill>
          </w14:textFill>
          <w14:ligatures w14:val="none"/>
        </w:rPr>
      </w:pPr>
    </w:p>
    <w:p w14:paraId="7A99CF46">
      <w:pPr>
        <w:widowControl/>
        <w:spacing w:line="276" w:lineRule="auto"/>
        <w:ind w:firstLine="420" w:firstLineChars="200"/>
        <w:jc w:val="center"/>
        <w:rPr>
          <w:rFonts w:hint="eastAsia" w:ascii="宋体" w:hAnsi="宋体" w:eastAsia="宋体" w:cs="宋体"/>
          <w:color w:val="000000" w:themeColor="text1"/>
          <w:kern w:val="0"/>
          <w:sz w:val="21"/>
          <w:szCs w:val="21"/>
          <w:highlight w:val="none"/>
          <w14:textFill>
            <w14:solidFill>
              <w14:schemeClr w14:val="tx1"/>
            </w14:solidFill>
          </w14:textFill>
          <w14:ligatures w14:val="none"/>
        </w:rPr>
      </w:pPr>
    </w:p>
    <w:p w14:paraId="15A81B81">
      <w:pPr>
        <w:widowControl/>
        <w:spacing w:line="276" w:lineRule="auto"/>
        <w:ind w:firstLine="420" w:firstLineChars="200"/>
        <w:jc w:val="center"/>
        <w:rPr>
          <w:rFonts w:ascii="宋体" w:hAnsi="宋体" w:eastAsia="宋体" w:cs="宋体"/>
          <w:color w:val="000000" w:themeColor="text1"/>
          <w:kern w:val="0"/>
          <w:sz w:val="21"/>
          <w:szCs w:val="21"/>
          <w:highlight w:val="none"/>
          <w14:textFill>
            <w14:solidFill>
              <w14:schemeClr w14:val="tx1"/>
            </w14:solidFill>
          </w14:textFill>
          <w14:ligatures w14:val="none"/>
        </w:rPr>
      </w:pPr>
      <w:r>
        <w:rPr>
          <w:rFonts w:hint="eastAsia" w:ascii="宋体" w:hAnsi="宋体" w:eastAsia="宋体" w:cs="宋体"/>
          <w:color w:val="000000" w:themeColor="text1"/>
          <w:kern w:val="0"/>
          <w:sz w:val="21"/>
          <w:szCs w:val="21"/>
          <w:highlight w:val="none"/>
          <w14:textFill>
            <w14:solidFill>
              <w14:schemeClr w14:val="tx1"/>
            </w14:solidFill>
          </w14:textFill>
          <w14:ligatures w14:val="none"/>
        </w:rPr>
        <w:t>表</w:t>
      </w:r>
      <w:r>
        <w:rPr>
          <w:rFonts w:hint="eastAsia" w:ascii="宋体" w:hAnsi="宋体" w:eastAsia="宋体" w:cs="宋体"/>
          <w:color w:val="000000" w:themeColor="text1"/>
          <w:kern w:val="0"/>
          <w:sz w:val="21"/>
          <w:szCs w:val="21"/>
          <w:highlight w:val="none"/>
          <w:lang w:val="en-US" w:eastAsia="zh-CN"/>
          <w14:textFill>
            <w14:solidFill>
              <w14:schemeClr w14:val="tx1"/>
            </w14:solidFill>
          </w14:textFill>
          <w14:ligatures w14:val="none"/>
        </w:rPr>
        <w:t>6</w:t>
      </w:r>
      <w:r>
        <w:rPr>
          <w:rFonts w:hint="eastAsia" w:ascii="宋体" w:hAnsi="宋体" w:eastAsia="宋体" w:cs="宋体"/>
          <w:color w:val="000000" w:themeColor="text1"/>
          <w:kern w:val="0"/>
          <w:sz w:val="21"/>
          <w:szCs w:val="21"/>
          <w:highlight w:val="none"/>
          <w14:textFill>
            <w14:solidFill>
              <w14:schemeClr w14:val="tx1"/>
            </w14:solidFill>
          </w14:textFill>
          <w14:ligatures w14:val="none"/>
        </w:rPr>
        <w:t>实验组和对照组各月龄犊牛球虫平均</w:t>
      </w:r>
      <w:r>
        <w:rPr>
          <w:rFonts w:ascii="宋体" w:hAnsi="宋体" w:eastAsia="宋体" w:cs="宋体"/>
          <w:color w:val="000000" w:themeColor="text1"/>
          <w:kern w:val="0"/>
          <w:sz w:val="21"/>
          <w:szCs w:val="21"/>
          <w:highlight w:val="none"/>
          <w14:textFill>
            <w14:solidFill>
              <w14:schemeClr w14:val="tx1"/>
            </w14:solidFill>
          </w14:textFill>
          <w14:ligatures w14:val="none"/>
        </w:rPr>
        <w:t>OPG</w:t>
      </w:r>
      <w:r>
        <w:rPr>
          <w:rFonts w:hint="eastAsia" w:ascii="宋体" w:hAnsi="宋体" w:eastAsia="宋体" w:cs="宋体"/>
          <w:color w:val="000000" w:themeColor="text1"/>
          <w:kern w:val="0"/>
          <w:sz w:val="21"/>
          <w:szCs w:val="21"/>
          <w:highlight w:val="none"/>
          <w14:textFill>
            <w14:solidFill>
              <w14:schemeClr w14:val="tx1"/>
            </w14:solidFill>
          </w14:textFill>
          <w14:ligatures w14:val="none"/>
        </w:rPr>
        <w:t>值变化</w:t>
      </w:r>
    </w:p>
    <w:tbl>
      <w:tblPr>
        <w:tblStyle w:val="13"/>
        <w:tblW w:w="8986" w:type="dxa"/>
        <w:jc w:val="center"/>
        <w:tblLayout w:type="autofit"/>
        <w:tblCellMar>
          <w:top w:w="0" w:type="dxa"/>
          <w:left w:w="108" w:type="dxa"/>
          <w:bottom w:w="0" w:type="dxa"/>
          <w:right w:w="108" w:type="dxa"/>
        </w:tblCellMar>
      </w:tblPr>
      <w:tblGrid>
        <w:gridCol w:w="1276"/>
        <w:gridCol w:w="1134"/>
        <w:gridCol w:w="1109"/>
        <w:gridCol w:w="236"/>
        <w:gridCol w:w="1274"/>
        <w:gridCol w:w="1216"/>
        <w:gridCol w:w="222"/>
        <w:gridCol w:w="1274"/>
        <w:gridCol w:w="1245"/>
      </w:tblGrid>
      <w:tr w14:paraId="7E7D1264">
        <w:tblPrEx>
          <w:tblCellMar>
            <w:top w:w="0" w:type="dxa"/>
            <w:left w:w="108" w:type="dxa"/>
            <w:bottom w:w="0" w:type="dxa"/>
            <w:right w:w="108" w:type="dxa"/>
          </w:tblCellMar>
        </w:tblPrEx>
        <w:trPr>
          <w:trHeight w:val="340" w:hRule="atLeast"/>
          <w:jc w:val="center"/>
        </w:trPr>
        <w:tc>
          <w:tcPr>
            <w:tcW w:w="1276" w:type="dxa"/>
            <w:vMerge w:val="restart"/>
            <w:tcBorders>
              <w:top w:val="single" w:color="auto" w:sz="12" w:space="0"/>
              <w:left w:val="nil"/>
              <w:bottom w:val="nil"/>
              <w:right w:val="nil"/>
            </w:tcBorders>
            <w:shd w:val="clear" w:color="auto" w:fill="auto"/>
            <w:vAlign w:val="center"/>
          </w:tcPr>
          <w:p w14:paraId="6C52C850">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Age in months</w:t>
            </w:r>
          </w:p>
        </w:tc>
        <w:tc>
          <w:tcPr>
            <w:tcW w:w="2243" w:type="dxa"/>
            <w:gridSpan w:val="2"/>
            <w:vMerge w:val="restart"/>
            <w:tcBorders>
              <w:top w:val="single" w:color="auto" w:sz="12" w:space="0"/>
              <w:left w:val="nil"/>
              <w:bottom w:val="single" w:color="000000" w:sz="8" w:space="0"/>
              <w:right w:val="nil"/>
            </w:tcBorders>
            <w:shd w:val="clear" w:color="auto" w:fill="auto"/>
            <w:vAlign w:val="center"/>
          </w:tcPr>
          <w:p w14:paraId="3531B8E4">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Traditional Chinese medicine group</w:t>
            </w:r>
          </w:p>
        </w:tc>
        <w:tc>
          <w:tcPr>
            <w:tcW w:w="236" w:type="dxa"/>
            <w:tcBorders>
              <w:top w:val="single" w:color="auto" w:sz="12" w:space="0"/>
              <w:left w:val="nil"/>
              <w:bottom w:val="nil"/>
              <w:right w:val="nil"/>
            </w:tcBorders>
            <w:shd w:val="clear" w:color="auto" w:fill="auto"/>
            <w:vAlign w:val="center"/>
          </w:tcPr>
          <w:p w14:paraId="547D0EA4">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　</w:t>
            </w:r>
          </w:p>
        </w:tc>
        <w:tc>
          <w:tcPr>
            <w:tcW w:w="2490" w:type="dxa"/>
            <w:gridSpan w:val="2"/>
            <w:vMerge w:val="restart"/>
            <w:tcBorders>
              <w:top w:val="single" w:color="auto" w:sz="12" w:space="0"/>
              <w:left w:val="nil"/>
              <w:bottom w:val="single" w:color="000000" w:sz="8" w:space="0"/>
              <w:right w:val="nil"/>
            </w:tcBorders>
            <w:shd w:val="clear" w:color="auto" w:fill="auto"/>
            <w:vAlign w:val="center"/>
          </w:tcPr>
          <w:p w14:paraId="35BF6AAB">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The toltrazuril group</w:t>
            </w:r>
          </w:p>
        </w:tc>
        <w:tc>
          <w:tcPr>
            <w:tcW w:w="222" w:type="dxa"/>
            <w:tcBorders>
              <w:top w:val="single" w:color="auto" w:sz="12" w:space="0"/>
              <w:left w:val="nil"/>
              <w:bottom w:val="nil"/>
              <w:right w:val="nil"/>
            </w:tcBorders>
            <w:shd w:val="clear" w:color="auto" w:fill="auto"/>
            <w:vAlign w:val="center"/>
          </w:tcPr>
          <w:p w14:paraId="77EDC485">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　</w:t>
            </w:r>
          </w:p>
        </w:tc>
        <w:tc>
          <w:tcPr>
            <w:tcW w:w="2519" w:type="dxa"/>
            <w:gridSpan w:val="2"/>
            <w:vMerge w:val="restart"/>
            <w:tcBorders>
              <w:top w:val="single" w:color="auto" w:sz="12" w:space="0"/>
              <w:left w:val="nil"/>
              <w:bottom w:val="single" w:color="000000" w:sz="8" w:space="0"/>
              <w:right w:val="nil"/>
            </w:tcBorders>
            <w:shd w:val="clear" w:color="auto" w:fill="auto"/>
            <w:vAlign w:val="center"/>
          </w:tcPr>
          <w:p w14:paraId="386BA95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Control group</w:t>
            </w:r>
          </w:p>
        </w:tc>
      </w:tr>
      <w:tr w14:paraId="3F38A4A0">
        <w:tblPrEx>
          <w:tblCellMar>
            <w:top w:w="0" w:type="dxa"/>
            <w:left w:w="108" w:type="dxa"/>
            <w:bottom w:w="0" w:type="dxa"/>
            <w:right w:w="108" w:type="dxa"/>
          </w:tblCellMar>
        </w:tblPrEx>
        <w:trPr>
          <w:trHeight w:val="340" w:hRule="atLeast"/>
          <w:jc w:val="center"/>
        </w:trPr>
        <w:tc>
          <w:tcPr>
            <w:tcW w:w="1276" w:type="dxa"/>
            <w:vMerge w:val="continue"/>
            <w:tcBorders>
              <w:top w:val="single" w:color="auto" w:sz="12" w:space="0"/>
              <w:left w:val="nil"/>
              <w:bottom w:val="nil"/>
              <w:right w:val="nil"/>
            </w:tcBorders>
            <w:vAlign w:val="center"/>
          </w:tcPr>
          <w:p w14:paraId="537B1E3C">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2243" w:type="dxa"/>
            <w:gridSpan w:val="2"/>
            <w:vMerge w:val="continue"/>
            <w:tcBorders>
              <w:top w:val="single" w:color="auto" w:sz="12" w:space="0"/>
              <w:left w:val="nil"/>
              <w:bottom w:val="single" w:color="000000" w:sz="8" w:space="0"/>
              <w:right w:val="nil"/>
            </w:tcBorders>
            <w:vAlign w:val="center"/>
          </w:tcPr>
          <w:p w14:paraId="52D2ECBF">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236" w:type="dxa"/>
            <w:tcBorders>
              <w:top w:val="nil"/>
              <w:left w:val="nil"/>
              <w:bottom w:val="nil"/>
              <w:right w:val="nil"/>
            </w:tcBorders>
            <w:shd w:val="clear" w:color="auto" w:fill="auto"/>
            <w:vAlign w:val="center"/>
          </w:tcPr>
          <w:p w14:paraId="6BDD76E7">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2490" w:type="dxa"/>
            <w:gridSpan w:val="2"/>
            <w:vMerge w:val="continue"/>
            <w:tcBorders>
              <w:top w:val="nil"/>
              <w:left w:val="nil"/>
              <w:bottom w:val="single" w:color="auto" w:sz="6" w:space="0"/>
              <w:right w:val="nil"/>
            </w:tcBorders>
            <w:vAlign w:val="center"/>
          </w:tcPr>
          <w:p w14:paraId="76335C30">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222" w:type="dxa"/>
            <w:tcBorders>
              <w:top w:val="nil"/>
              <w:left w:val="nil"/>
              <w:bottom w:val="nil"/>
              <w:right w:val="nil"/>
            </w:tcBorders>
            <w:shd w:val="clear" w:color="auto" w:fill="auto"/>
            <w:vAlign w:val="center"/>
          </w:tcPr>
          <w:p w14:paraId="0A189ED4">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Times New Roman" w:cs="Times New Roman"/>
                <w:color w:val="000000" w:themeColor="text1"/>
                <w:kern w:val="0"/>
                <w:sz w:val="18"/>
                <w:szCs w:val="18"/>
                <w:highlight w:val="none"/>
                <w14:textFill>
                  <w14:solidFill>
                    <w14:schemeClr w14:val="tx1"/>
                  </w14:solidFill>
                </w14:textFill>
                <w14:ligatures w14:val="none"/>
              </w:rPr>
            </w:pPr>
          </w:p>
        </w:tc>
        <w:tc>
          <w:tcPr>
            <w:tcW w:w="2519" w:type="dxa"/>
            <w:gridSpan w:val="2"/>
            <w:vMerge w:val="continue"/>
            <w:tcBorders>
              <w:top w:val="nil"/>
              <w:left w:val="nil"/>
              <w:bottom w:val="single" w:color="auto" w:sz="6" w:space="0"/>
              <w:right w:val="nil"/>
            </w:tcBorders>
            <w:vAlign w:val="center"/>
          </w:tcPr>
          <w:p w14:paraId="7329B5F6">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r>
      <w:tr w14:paraId="19AF4FF6">
        <w:tblPrEx>
          <w:tblCellMar>
            <w:top w:w="0" w:type="dxa"/>
            <w:left w:w="108" w:type="dxa"/>
            <w:bottom w:w="0" w:type="dxa"/>
            <w:right w:w="108" w:type="dxa"/>
          </w:tblCellMar>
        </w:tblPrEx>
        <w:trPr>
          <w:trHeight w:val="320" w:hRule="atLeast"/>
          <w:jc w:val="center"/>
        </w:trPr>
        <w:tc>
          <w:tcPr>
            <w:tcW w:w="1276" w:type="dxa"/>
            <w:vMerge w:val="continue"/>
            <w:tcBorders>
              <w:top w:val="single" w:color="auto" w:sz="12" w:space="0"/>
              <w:left w:val="nil"/>
              <w:bottom w:val="single" w:color="auto" w:sz="6" w:space="0"/>
              <w:right w:val="nil"/>
            </w:tcBorders>
            <w:vAlign w:val="center"/>
          </w:tcPr>
          <w:p w14:paraId="35DEEAF2">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134" w:type="dxa"/>
            <w:tcBorders>
              <w:top w:val="nil"/>
              <w:left w:val="nil"/>
              <w:bottom w:val="single" w:color="auto" w:sz="6" w:space="0"/>
              <w:right w:val="nil"/>
            </w:tcBorders>
            <w:shd w:val="clear" w:color="auto" w:fill="auto"/>
            <w:vAlign w:val="center"/>
          </w:tcPr>
          <w:p w14:paraId="0F436D80">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Before the test</w:t>
            </w:r>
          </w:p>
        </w:tc>
        <w:tc>
          <w:tcPr>
            <w:tcW w:w="1109" w:type="dxa"/>
            <w:tcBorders>
              <w:top w:val="nil"/>
              <w:left w:val="nil"/>
              <w:bottom w:val="single" w:color="auto" w:sz="6" w:space="0"/>
              <w:right w:val="nil"/>
            </w:tcBorders>
            <w:shd w:val="clear" w:color="auto" w:fill="auto"/>
            <w:vAlign w:val="center"/>
          </w:tcPr>
          <w:p w14:paraId="150D8E1C">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After the test</w:t>
            </w:r>
          </w:p>
        </w:tc>
        <w:tc>
          <w:tcPr>
            <w:tcW w:w="236" w:type="dxa"/>
            <w:tcBorders>
              <w:top w:val="nil"/>
              <w:left w:val="nil"/>
              <w:bottom w:val="single" w:color="auto" w:sz="6" w:space="0"/>
              <w:right w:val="nil"/>
            </w:tcBorders>
            <w:shd w:val="clear" w:color="auto" w:fill="auto"/>
            <w:vAlign w:val="center"/>
          </w:tcPr>
          <w:p w14:paraId="1EF4C92B">
            <w:pPr>
              <w:keepNext w:val="0"/>
              <w:keepLines w:val="0"/>
              <w:widowControl/>
              <w:suppressLineNumbers w:val="0"/>
              <w:spacing w:before="0" w:beforeAutospacing="0" w:after="0" w:afterAutospacing="0" w:line="276" w:lineRule="auto"/>
              <w:ind w:left="0" w:right="0"/>
              <w:jc w:val="left"/>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4" w:type="dxa"/>
            <w:tcBorders>
              <w:top w:val="single" w:color="auto" w:sz="6" w:space="0"/>
              <w:left w:val="nil"/>
              <w:bottom w:val="single" w:color="auto" w:sz="6" w:space="0"/>
              <w:right w:val="nil"/>
            </w:tcBorders>
            <w:shd w:val="clear" w:color="auto" w:fill="auto"/>
            <w:vAlign w:val="center"/>
          </w:tcPr>
          <w:p w14:paraId="1FED2C17">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Before the test</w:t>
            </w:r>
          </w:p>
        </w:tc>
        <w:tc>
          <w:tcPr>
            <w:tcW w:w="1216" w:type="dxa"/>
            <w:tcBorders>
              <w:top w:val="single" w:color="auto" w:sz="6" w:space="0"/>
              <w:left w:val="nil"/>
              <w:bottom w:val="single" w:color="auto" w:sz="6" w:space="0"/>
              <w:right w:val="nil"/>
            </w:tcBorders>
            <w:shd w:val="clear" w:color="auto" w:fill="auto"/>
            <w:vAlign w:val="center"/>
          </w:tcPr>
          <w:p w14:paraId="76454BC4">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After the test</w:t>
            </w:r>
          </w:p>
        </w:tc>
        <w:tc>
          <w:tcPr>
            <w:tcW w:w="222" w:type="dxa"/>
            <w:tcBorders>
              <w:top w:val="nil"/>
              <w:left w:val="nil"/>
              <w:bottom w:val="single" w:color="auto" w:sz="6" w:space="0"/>
              <w:right w:val="nil"/>
            </w:tcBorders>
            <w:shd w:val="clear" w:color="auto" w:fill="auto"/>
            <w:vAlign w:val="center"/>
          </w:tcPr>
          <w:p w14:paraId="0BD63228">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4" w:type="dxa"/>
            <w:tcBorders>
              <w:top w:val="single" w:color="auto" w:sz="6" w:space="0"/>
              <w:left w:val="nil"/>
              <w:bottom w:val="single" w:color="auto" w:sz="6" w:space="0"/>
              <w:right w:val="nil"/>
            </w:tcBorders>
            <w:shd w:val="clear" w:color="auto" w:fill="auto"/>
            <w:vAlign w:val="center"/>
          </w:tcPr>
          <w:p w14:paraId="2D280E6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Before the test</w:t>
            </w:r>
          </w:p>
        </w:tc>
        <w:tc>
          <w:tcPr>
            <w:tcW w:w="1245" w:type="dxa"/>
            <w:tcBorders>
              <w:top w:val="single" w:color="auto" w:sz="6" w:space="0"/>
              <w:left w:val="nil"/>
              <w:bottom w:val="single" w:color="auto" w:sz="6" w:space="0"/>
              <w:right w:val="nil"/>
            </w:tcBorders>
            <w:shd w:val="clear" w:color="auto" w:fill="auto"/>
            <w:vAlign w:val="center"/>
          </w:tcPr>
          <w:p w14:paraId="4E75452E">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After the test</w:t>
            </w:r>
          </w:p>
        </w:tc>
      </w:tr>
      <w:tr w14:paraId="688A9632">
        <w:tblPrEx>
          <w:tblCellMar>
            <w:top w:w="0" w:type="dxa"/>
            <w:left w:w="108" w:type="dxa"/>
            <w:bottom w:w="0" w:type="dxa"/>
            <w:right w:w="108" w:type="dxa"/>
          </w:tblCellMar>
        </w:tblPrEx>
        <w:trPr>
          <w:trHeight w:val="480" w:hRule="atLeast"/>
          <w:jc w:val="center"/>
        </w:trPr>
        <w:tc>
          <w:tcPr>
            <w:tcW w:w="1276" w:type="dxa"/>
            <w:tcBorders>
              <w:top w:val="nil"/>
              <w:left w:val="nil"/>
              <w:bottom w:val="nil"/>
              <w:right w:val="nil"/>
            </w:tcBorders>
            <w:shd w:val="clear" w:color="auto" w:fill="auto"/>
            <w:vAlign w:val="center"/>
          </w:tcPr>
          <w:p w14:paraId="1AA72953">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1to 2</w:t>
            </w:r>
          </w:p>
        </w:tc>
        <w:tc>
          <w:tcPr>
            <w:tcW w:w="1134" w:type="dxa"/>
            <w:tcBorders>
              <w:top w:val="nil"/>
              <w:left w:val="nil"/>
              <w:bottom w:val="nil"/>
              <w:right w:val="nil"/>
            </w:tcBorders>
            <w:shd w:val="clear" w:color="auto" w:fill="auto"/>
            <w:vAlign w:val="center"/>
          </w:tcPr>
          <w:p w14:paraId="6DB5BA9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462.79</w:t>
            </w:r>
          </w:p>
        </w:tc>
        <w:tc>
          <w:tcPr>
            <w:tcW w:w="1109" w:type="dxa"/>
            <w:tcBorders>
              <w:top w:val="nil"/>
              <w:left w:val="nil"/>
              <w:bottom w:val="nil"/>
              <w:right w:val="nil"/>
            </w:tcBorders>
            <w:shd w:val="clear" w:color="auto" w:fill="auto"/>
            <w:vAlign w:val="center"/>
          </w:tcPr>
          <w:p w14:paraId="2D1A4D7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27.91</w:t>
            </w:r>
          </w:p>
        </w:tc>
        <w:tc>
          <w:tcPr>
            <w:tcW w:w="236" w:type="dxa"/>
            <w:tcBorders>
              <w:top w:val="nil"/>
              <w:left w:val="nil"/>
              <w:bottom w:val="nil"/>
              <w:right w:val="nil"/>
            </w:tcBorders>
            <w:shd w:val="clear" w:color="auto" w:fill="auto"/>
            <w:vAlign w:val="center"/>
          </w:tcPr>
          <w:p w14:paraId="42707E5D">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4" w:type="dxa"/>
            <w:tcBorders>
              <w:top w:val="nil"/>
              <w:left w:val="nil"/>
              <w:bottom w:val="nil"/>
              <w:right w:val="nil"/>
            </w:tcBorders>
            <w:shd w:val="clear" w:color="auto" w:fill="auto"/>
            <w:vAlign w:val="center"/>
          </w:tcPr>
          <w:p w14:paraId="20AB26CD">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422.5</w:t>
            </w:r>
            <w:r>
              <w:rPr>
                <w:rFonts w:hint="eastAsia" w:ascii="Times New Roman" w:hAnsi="Times New Roman" w:eastAsia="等线" w:cs="Times New Roman"/>
                <w:color w:val="000000" w:themeColor="text1"/>
                <w:kern w:val="0"/>
                <w:sz w:val="18"/>
                <w:szCs w:val="18"/>
                <w:highlight w:val="none"/>
                <w14:textFill>
                  <w14:solidFill>
                    <w14:schemeClr w14:val="tx1"/>
                  </w14:solidFill>
                </w14:textFill>
                <w14:ligatures w14:val="none"/>
              </w:rPr>
              <w:t>0</w:t>
            </w:r>
          </w:p>
        </w:tc>
        <w:tc>
          <w:tcPr>
            <w:tcW w:w="1216" w:type="dxa"/>
            <w:tcBorders>
              <w:top w:val="nil"/>
              <w:left w:val="nil"/>
              <w:bottom w:val="nil"/>
              <w:right w:val="nil"/>
            </w:tcBorders>
            <w:shd w:val="clear" w:color="auto" w:fill="auto"/>
            <w:vAlign w:val="center"/>
          </w:tcPr>
          <w:p w14:paraId="7AEC57AB">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12.50</w:t>
            </w:r>
          </w:p>
        </w:tc>
        <w:tc>
          <w:tcPr>
            <w:tcW w:w="222" w:type="dxa"/>
            <w:tcBorders>
              <w:top w:val="nil"/>
              <w:left w:val="nil"/>
              <w:bottom w:val="nil"/>
              <w:right w:val="nil"/>
            </w:tcBorders>
            <w:shd w:val="clear" w:color="auto" w:fill="auto"/>
            <w:vAlign w:val="center"/>
          </w:tcPr>
          <w:p w14:paraId="12E946D3">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4" w:type="dxa"/>
            <w:tcBorders>
              <w:top w:val="nil"/>
              <w:left w:val="nil"/>
              <w:bottom w:val="nil"/>
              <w:right w:val="nil"/>
            </w:tcBorders>
            <w:shd w:val="clear" w:color="auto" w:fill="auto"/>
            <w:vAlign w:val="center"/>
          </w:tcPr>
          <w:p w14:paraId="50F52066">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425.00</w:t>
            </w:r>
          </w:p>
        </w:tc>
        <w:tc>
          <w:tcPr>
            <w:tcW w:w="1245" w:type="dxa"/>
            <w:tcBorders>
              <w:top w:val="nil"/>
              <w:left w:val="nil"/>
              <w:bottom w:val="nil"/>
              <w:right w:val="nil"/>
            </w:tcBorders>
            <w:shd w:val="clear" w:color="auto" w:fill="auto"/>
            <w:vAlign w:val="center"/>
          </w:tcPr>
          <w:p w14:paraId="54ACABDC">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395.00</w:t>
            </w:r>
          </w:p>
        </w:tc>
      </w:tr>
      <w:tr w14:paraId="1CBBA78F">
        <w:tblPrEx>
          <w:tblCellMar>
            <w:top w:w="0" w:type="dxa"/>
            <w:left w:w="108" w:type="dxa"/>
            <w:bottom w:w="0" w:type="dxa"/>
            <w:right w:w="108" w:type="dxa"/>
          </w:tblCellMar>
        </w:tblPrEx>
        <w:trPr>
          <w:trHeight w:val="480" w:hRule="atLeast"/>
          <w:jc w:val="center"/>
        </w:trPr>
        <w:tc>
          <w:tcPr>
            <w:tcW w:w="1276" w:type="dxa"/>
            <w:tcBorders>
              <w:top w:val="nil"/>
              <w:left w:val="nil"/>
              <w:bottom w:val="nil"/>
              <w:right w:val="nil"/>
            </w:tcBorders>
            <w:shd w:val="clear" w:color="auto" w:fill="auto"/>
            <w:vAlign w:val="center"/>
          </w:tcPr>
          <w:p w14:paraId="379FF3E1">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2.5 to 3</w:t>
            </w:r>
          </w:p>
        </w:tc>
        <w:tc>
          <w:tcPr>
            <w:tcW w:w="1134" w:type="dxa"/>
            <w:tcBorders>
              <w:top w:val="nil"/>
              <w:left w:val="nil"/>
              <w:bottom w:val="nil"/>
              <w:right w:val="nil"/>
            </w:tcBorders>
            <w:shd w:val="clear" w:color="auto" w:fill="auto"/>
            <w:vAlign w:val="center"/>
          </w:tcPr>
          <w:p w14:paraId="7832251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713.95</w:t>
            </w:r>
          </w:p>
        </w:tc>
        <w:tc>
          <w:tcPr>
            <w:tcW w:w="1109" w:type="dxa"/>
            <w:tcBorders>
              <w:top w:val="nil"/>
              <w:left w:val="nil"/>
              <w:bottom w:val="nil"/>
              <w:right w:val="nil"/>
            </w:tcBorders>
            <w:shd w:val="clear" w:color="auto" w:fill="auto"/>
            <w:vAlign w:val="center"/>
          </w:tcPr>
          <w:p w14:paraId="159C6B3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20.93</w:t>
            </w:r>
          </w:p>
        </w:tc>
        <w:tc>
          <w:tcPr>
            <w:tcW w:w="236" w:type="dxa"/>
            <w:tcBorders>
              <w:top w:val="nil"/>
              <w:left w:val="nil"/>
              <w:bottom w:val="nil"/>
              <w:right w:val="nil"/>
            </w:tcBorders>
            <w:shd w:val="clear" w:color="auto" w:fill="auto"/>
            <w:vAlign w:val="center"/>
          </w:tcPr>
          <w:p w14:paraId="00FCC1DE">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4" w:type="dxa"/>
            <w:tcBorders>
              <w:top w:val="nil"/>
              <w:left w:val="nil"/>
              <w:bottom w:val="nil"/>
              <w:right w:val="nil"/>
            </w:tcBorders>
            <w:shd w:val="clear" w:color="auto" w:fill="auto"/>
            <w:vAlign w:val="center"/>
          </w:tcPr>
          <w:p w14:paraId="0842CD33">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752.5</w:t>
            </w:r>
            <w:r>
              <w:rPr>
                <w:rFonts w:hint="eastAsia" w:ascii="Times New Roman" w:hAnsi="Times New Roman" w:eastAsia="等线" w:cs="Times New Roman"/>
                <w:color w:val="000000" w:themeColor="text1"/>
                <w:kern w:val="0"/>
                <w:sz w:val="18"/>
                <w:szCs w:val="18"/>
                <w:highlight w:val="none"/>
                <w14:textFill>
                  <w14:solidFill>
                    <w14:schemeClr w14:val="tx1"/>
                  </w14:solidFill>
                </w14:textFill>
                <w14:ligatures w14:val="none"/>
              </w:rPr>
              <w:t>0</w:t>
            </w:r>
          </w:p>
        </w:tc>
        <w:tc>
          <w:tcPr>
            <w:tcW w:w="1216" w:type="dxa"/>
            <w:tcBorders>
              <w:top w:val="nil"/>
              <w:left w:val="nil"/>
              <w:bottom w:val="nil"/>
              <w:right w:val="nil"/>
            </w:tcBorders>
            <w:shd w:val="clear" w:color="auto" w:fill="auto"/>
            <w:vAlign w:val="center"/>
          </w:tcPr>
          <w:p w14:paraId="4F48E99F">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22.50</w:t>
            </w:r>
          </w:p>
        </w:tc>
        <w:tc>
          <w:tcPr>
            <w:tcW w:w="222" w:type="dxa"/>
            <w:tcBorders>
              <w:top w:val="nil"/>
              <w:left w:val="nil"/>
              <w:bottom w:val="nil"/>
              <w:right w:val="nil"/>
            </w:tcBorders>
            <w:shd w:val="clear" w:color="auto" w:fill="auto"/>
            <w:vAlign w:val="center"/>
          </w:tcPr>
          <w:p w14:paraId="65E5DC2D">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4" w:type="dxa"/>
            <w:tcBorders>
              <w:top w:val="nil"/>
              <w:left w:val="nil"/>
              <w:bottom w:val="nil"/>
              <w:right w:val="nil"/>
            </w:tcBorders>
            <w:shd w:val="clear" w:color="auto" w:fill="auto"/>
            <w:vAlign w:val="center"/>
          </w:tcPr>
          <w:p w14:paraId="30CE9DFC">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682.50</w:t>
            </w:r>
          </w:p>
        </w:tc>
        <w:tc>
          <w:tcPr>
            <w:tcW w:w="1245" w:type="dxa"/>
            <w:tcBorders>
              <w:top w:val="nil"/>
              <w:left w:val="nil"/>
              <w:bottom w:val="nil"/>
              <w:right w:val="nil"/>
            </w:tcBorders>
            <w:shd w:val="clear" w:color="auto" w:fill="auto"/>
            <w:vAlign w:val="center"/>
          </w:tcPr>
          <w:p w14:paraId="165D34CA">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737.50</w:t>
            </w:r>
          </w:p>
        </w:tc>
      </w:tr>
      <w:tr w14:paraId="5D9F8A66">
        <w:tblPrEx>
          <w:tblCellMar>
            <w:top w:w="0" w:type="dxa"/>
            <w:left w:w="108" w:type="dxa"/>
            <w:bottom w:w="0" w:type="dxa"/>
            <w:right w:w="108" w:type="dxa"/>
          </w:tblCellMar>
        </w:tblPrEx>
        <w:trPr>
          <w:trHeight w:val="480" w:hRule="atLeast"/>
          <w:jc w:val="center"/>
        </w:trPr>
        <w:tc>
          <w:tcPr>
            <w:tcW w:w="1276" w:type="dxa"/>
            <w:tcBorders>
              <w:top w:val="nil"/>
              <w:left w:val="nil"/>
              <w:bottom w:val="nil"/>
              <w:right w:val="nil"/>
            </w:tcBorders>
            <w:shd w:val="clear" w:color="auto" w:fill="auto"/>
            <w:vAlign w:val="center"/>
          </w:tcPr>
          <w:p w14:paraId="74CF4147">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3 to 4</w:t>
            </w:r>
          </w:p>
        </w:tc>
        <w:tc>
          <w:tcPr>
            <w:tcW w:w="1134" w:type="dxa"/>
            <w:tcBorders>
              <w:top w:val="nil"/>
              <w:left w:val="nil"/>
              <w:bottom w:val="nil"/>
              <w:right w:val="nil"/>
            </w:tcBorders>
            <w:shd w:val="clear" w:color="auto" w:fill="auto"/>
            <w:vAlign w:val="center"/>
          </w:tcPr>
          <w:p w14:paraId="5BDE19BD">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1065.85</w:t>
            </w:r>
          </w:p>
        </w:tc>
        <w:tc>
          <w:tcPr>
            <w:tcW w:w="1109" w:type="dxa"/>
            <w:tcBorders>
              <w:top w:val="nil"/>
              <w:left w:val="nil"/>
              <w:bottom w:val="nil"/>
              <w:right w:val="nil"/>
            </w:tcBorders>
            <w:shd w:val="clear" w:color="auto" w:fill="auto"/>
            <w:vAlign w:val="center"/>
          </w:tcPr>
          <w:p w14:paraId="402AA025">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21.95</w:t>
            </w:r>
          </w:p>
        </w:tc>
        <w:tc>
          <w:tcPr>
            <w:tcW w:w="236" w:type="dxa"/>
            <w:tcBorders>
              <w:top w:val="nil"/>
              <w:left w:val="nil"/>
              <w:bottom w:val="nil"/>
              <w:right w:val="nil"/>
            </w:tcBorders>
            <w:shd w:val="clear" w:color="auto" w:fill="auto"/>
            <w:vAlign w:val="center"/>
          </w:tcPr>
          <w:p w14:paraId="2774FA1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4" w:type="dxa"/>
            <w:tcBorders>
              <w:top w:val="nil"/>
              <w:left w:val="nil"/>
              <w:bottom w:val="nil"/>
              <w:right w:val="nil"/>
            </w:tcBorders>
            <w:shd w:val="clear" w:color="auto" w:fill="auto"/>
            <w:vAlign w:val="center"/>
          </w:tcPr>
          <w:p w14:paraId="523EA56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927.5</w:t>
            </w:r>
            <w:r>
              <w:rPr>
                <w:rFonts w:hint="eastAsia" w:ascii="Times New Roman" w:hAnsi="Times New Roman" w:eastAsia="等线" w:cs="Times New Roman"/>
                <w:color w:val="000000" w:themeColor="text1"/>
                <w:kern w:val="0"/>
                <w:sz w:val="18"/>
                <w:szCs w:val="18"/>
                <w:highlight w:val="none"/>
                <w14:textFill>
                  <w14:solidFill>
                    <w14:schemeClr w14:val="tx1"/>
                  </w14:solidFill>
                </w14:textFill>
                <w14:ligatures w14:val="none"/>
              </w:rPr>
              <w:t>0</w:t>
            </w:r>
          </w:p>
        </w:tc>
        <w:tc>
          <w:tcPr>
            <w:tcW w:w="1216" w:type="dxa"/>
            <w:tcBorders>
              <w:top w:val="nil"/>
              <w:left w:val="nil"/>
              <w:bottom w:val="nil"/>
              <w:right w:val="nil"/>
            </w:tcBorders>
            <w:shd w:val="clear" w:color="auto" w:fill="auto"/>
            <w:vAlign w:val="center"/>
          </w:tcPr>
          <w:p w14:paraId="3A5163DE">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30.00</w:t>
            </w:r>
          </w:p>
        </w:tc>
        <w:tc>
          <w:tcPr>
            <w:tcW w:w="222" w:type="dxa"/>
            <w:tcBorders>
              <w:top w:val="nil"/>
              <w:left w:val="nil"/>
              <w:bottom w:val="nil"/>
              <w:right w:val="nil"/>
            </w:tcBorders>
            <w:shd w:val="clear" w:color="auto" w:fill="auto"/>
            <w:vAlign w:val="center"/>
          </w:tcPr>
          <w:p w14:paraId="404104F9">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p>
        </w:tc>
        <w:tc>
          <w:tcPr>
            <w:tcW w:w="1274" w:type="dxa"/>
            <w:tcBorders>
              <w:top w:val="nil"/>
              <w:left w:val="nil"/>
              <w:bottom w:val="nil"/>
              <w:right w:val="nil"/>
            </w:tcBorders>
            <w:shd w:val="clear" w:color="auto" w:fill="auto"/>
            <w:vAlign w:val="center"/>
          </w:tcPr>
          <w:p w14:paraId="152E6591">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1142.50</w:t>
            </w:r>
          </w:p>
        </w:tc>
        <w:tc>
          <w:tcPr>
            <w:tcW w:w="1245" w:type="dxa"/>
            <w:tcBorders>
              <w:top w:val="nil"/>
              <w:left w:val="nil"/>
              <w:bottom w:val="nil"/>
              <w:right w:val="nil"/>
            </w:tcBorders>
            <w:shd w:val="clear" w:color="auto" w:fill="auto"/>
            <w:vAlign w:val="center"/>
          </w:tcPr>
          <w:p w14:paraId="1F53718F">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1787.50</w:t>
            </w:r>
          </w:p>
        </w:tc>
      </w:tr>
      <w:tr w14:paraId="24A688D5">
        <w:tblPrEx>
          <w:tblCellMar>
            <w:top w:w="0" w:type="dxa"/>
            <w:left w:w="108" w:type="dxa"/>
            <w:bottom w:w="0" w:type="dxa"/>
            <w:right w:w="108" w:type="dxa"/>
          </w:tblCellMar>
        </w:tblPrEx>
        <w:trPr>
          <w:trHeight w:val="500" w:hRule="atLeast"/>
          <w:jc w:val="center"/>
        </w:trPr>
        <w:tc>
          <w:tcPr>
            <w:tcW w:w="1276" w:type="dxa"/>
            <w:tcBorders>
              <w:top w:val="nil"/>
              <w:left w:val="nil"/>
              <w:bottom w:val="single" w:color="auto" w:sz="12" w:space="0"/>
              <w:right w:val="nil"/>
            </w:tcBorders>
            <w:shd w:val="clear" w:color="auto" w:fill="auto"/>
            <w:vAlign w:val="center"/>
          </w:tcPr>
          <w:p w14:paraId="73C795F3">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6 to 7</w:t>
            </w:r>
          </w:p>
        </w:tc>
        <w:tc>
          <w:tcPr>
            <w:tcW w:w="1134" w:type="dxa"/>
            <w:tcBorders>
              <w:top w:val="nil"/>
              <w:left w:val="nil"/>
              <w:bottom w:val="single" w:color="auto" w:sz="12" w:space="0"/>
              <w:right w:val="nil"/>
            </w:tcBorders>
            <w:shd w:val="clear" w:color="auto" w:fill="auto"/>
            <w:vAlign w:val="center"/>
          </w:tcPr>
          <w:p w14:paraId="65633154">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2262.3</w:t>
            </w:r>
            <w:r>
              <w:rPr>
                <w:rFonts w:hint="eastAsia" w:ascii="Times New Roman" w:hAnsi="Times New Roman" w:eastAsia="等线" w:cs="Times New Roman"/>
                <w:color w:val="000000" w:themeColor="text1"/>
                <w:kern w:val="0"/>
                <w:sz w:val="18"/>
                <w:szCs w:val="18"/>
                <w:highlight w:val="none"/>
                <w14:textFill>
                  <w14:solidFill>
                    <w14:schemeClr w14:val="tx1"/>
                  </w14:solidFill>
                </w14:textFill>
                <w14:ligatures w14:val="none"/>
              </w:rPr>
              <w:t>0</w:t>
            </w:r>
          </w:p>
        </w:tc>
        <w:tc>
          <w:tcPr>
            <w:tcW w:w="1109" w:type="dxa"/>
            <w:tcBorders>
              <w:top w:val="nil"/>
              <w:left w:val="nil"/>
              <w:bottom w:val="single" w:color="auto" w:sz="12" w:space="0"/>
              <w:right w:val="nil"/>
            </w:tcBorders>
            <w:shd w:val="clear" w:color="auto" w:fill="auto"/>
            <w:vAlign w:val="center"/>
          </w:tcPr>
          <w:p w14:paraId="798F0654">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26.23</w:t>
            </w:r>
          </w:p>
        </w:tc>
        <w:tc>
          <w:tcPr>
            <w:tcW w:w="236" w:type="dxa"/>
            <w:tcBorders>
              <w:top w:val="nil"/>
              <w:left w:val="nil"/>
              <w:bottom w:val="single" w:color="auto" w:sz="12" w:space="0"/>
              <w:right w:val="nil"/>
            </w:tcBorders>
            <w:shd w:val="clear" w:color="auto" w:fill="auto"/>
            <w:vAlign w:val="center"/>
          </w:tcPr>
          <w:p w14:paraId="6F2E655B">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　</w:t>
            </w:r>
          </w:p>
        </w:tc>
        <w:tc>
          <w:tcPr>
            <w:tcW w:w="1274" w:type="dxa"/>
            <w:tcBorders>
              <w:top w:val="nil"/>
              <w:left w:val="nil"/>
              <w:bottom w:val="single" w:color="auto" w:sz="12" w:space="0"/>
              <w:right w:val="nil"/>
            </w:tcBorders>
            <w:shd w:val="clear" w:color="auto" w:fill="auto"/>
            <w:vAlign w:val="center"/>
          </w:tcPr>
          <w:p w14:paraId="2998DA2E">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2033.33</w:t>
            </w:r>
          </w:p>
        </w:tc>
        <w:tc>
          <w:tcPr>
            <w:tcW w:w="1216" w:type="dxa"/>
            <w:tcBorders>
              <w:top w:val="nil"/>
              <w:left w:val="nil"/>
              <w:bottom w:val="single" w:color="auto" w:sz="12" w:space="0"/>
              <w:right w:val="nil"/>
            </w:tcBorders>
            <w:shd w:val="clear" w:color="auto" w:fill="auto"/>
            <w:vAlign w:val="center"/>
          </w:tcPr>
          <w:p w14:paraId="2DC59A62">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13.33</w:t>
            </w:r>
          </w:p>
        </w:tc>
        <w:tc>
          <w:tcPr>
            <w:tcW w:w="222" w:type="dxa"/>
            <w:tcBorders>
              <w:top w:val="nil"/>
              <w:left w:val="nil"/>
              <w:bottom w:val="single" w:color="auto" w:sz="12" w:space="0"/>
              <w:right w:val="nil"/>
            </w:tcBorders>
            <w:shd w:val="clear" w:color="auto" w:fill="auto"/>
            <w:vAlign w:val="center"/>
          </w:tcPr>
          <w:p w14:paraId="06449E66">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　</w:t>
            </w:r>
          </w:p>
        </w:tc>
        <w:tc>
          <w:tcPr>
            <w:tcW w:w="1274" w:type="dxa"/>
            <w:tcBorders>
              <w:top w:val="nil"/>
              <w:left w:val="nil"/>
              <w:bottom w:val="single" w:color="auto" w:sz="12" w:space="0"/>
              <w:right w:val="nil"/>
            </w:tcBorders>
            <w:shd w:val="clear" w:color="auto" w:fill="auto"/>
            <w:vAlign w:val="center"/>
          </w:tcPr>
          <w:p w14:paraId="5646EF2B">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2255.93</w:t>
            </w:r>
          </w:p>
        </w:tc>
        <w:tc>
          <w:tcPr>
            <w:tcW w:w="1245" w:type="dxa"/>
            <w:tcBorders>
              <w:top w:val="nil"/>
              <w:left w:val="nil"/>
              <w:bottom w:val="single" w:color="auto" w:sz="12" w:space="0"/>
              <w:right w:val="nil"/>
            </w:tcBorders>
            <w:shd w:val="clear" w:color="auto" w:fill="auto"/>
            <w:vAlign w:val="center"/>
          </w:tcPr>
          <w:p w14:paraId="3ED63DB4">
            <w:pPr>
              <w:keepNext w:val="0"/>
              <w:keepLines w:val="0"/>
              <w:widowControl/>
              <w:suppressLineNumbers w:val="0"/>
              <w:spacing w:before="0" w:beforeAutospacing="0" w:after="0" w:afterAutospacing="0" w:line="276" w:lineRule="auto"/>
              <w:ind w:left="0" w:right="0"/>
              <w:jc w:val="cente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pPr>
            <w:r>
              <w:rPr>
                <w:rFonts w:hint="default" w:ascii="Times New Roman" w:hAnsi="Times New Roman" w:eastAsia="等线" w:cs="Times New Roman"/>
                <w:color w:val="000000" w:themeColor="text1"/>
                <w:kern w:val="0"/>
                <w:sz w:val="18"/>
                <w:szCs w:val="18"/>
                <w:highlight w:val="none"/>
                <w14:textFill>
                  <w14:solidFill>
                    <w14:schemeClr w14:val="tx1"/>
                  </w14:solidFill>
                </w14:textFill>
                <w14:ligatures w14:val="none"/>
              </w:rPr>
              <w:t>2402.54</w:t>
            </w:r>
          </w:p>
        </w:tc>
      </w:tr>
    </w:tbl>
    <w:p w14:paraId="78B02DCB">
      <w:pPr>
        <w:widowControl/>
        <w:spacing w:line="276" w:lineRule="auto"/>
        <w:jc w:val="left"/>
        <w:rPr>
          <w:rFonts w:hint="eastAsia" w:ascii="宋体" w:hAnsi="宋体" w:eastAsia="宋体" w:cs="宋体"/>
          <w:color w:val="000000" w:themeColor="text1"/>
          <w:kern w:val="0"/>
          <w:sz w:val="24"/>
          <w:highlight w:val="none"/>
          <w14:textFill>
            <w14:solidFill>
              <w14:schemeClr w14:val="tx1"/>
            </w14:solidFill>
          </w14:textFill>
          <w14:ligatures w14:val="none"/>
        </w:rPr>
      </w:pPr>
    </w:p>
    <w:p w14:paraId="259BE44C">
      <w:pPr>
        <w:widowControl/>
        <w:spacing w:line="276" w:lineRule="auto"/>
        <w:ind w:firstLine="480" w:firstLineChars="200"/>
        <w:jc w:val="left"/>
        <w:rPr>
          <w:rFonts w:hint="eastAsia" w:ascii="宋体" w:hAnsi="宋体" w:eastAsia="宋体" w:cs="宋体"/>
          <w:color w:val="000000" w:themeColor="text1"/>
          <w:kern w:val="0"/>
          <w:sz w:val="24"/>
          <w:highlight w:val="none"/>
          <w14:textFill>
            <w14:solidFill>
              <w14:schemeClr w14:val="tx1"/>
            </w14:solidFill>
          </w14:textFill>
          <w14:ligatures w14:val="none"/>
        </w:rPr>
      </w:pPr>
    </w:p>
    <w:tbl>
      <w:tblPr>
        <w:tblStyle w:val="13"/>
        <w:tblpPr w:leftFromText="180" w:rightFromText="180" w:vertAnchor="text" w:tblpXSpec="center" w:tblpY="1"/>
        <w:tblOverlap w:val="never"/>
        <w:tblW w:w="0" w:type="auto"/>
        <w:tblInd w:w="0" w:type="dxa"/>
        <w:tblLayout w:type="autofit"/>
        <w:tblCellMar>
          <w:top w:w="0" w:type="dxa"/>
          <w:left w:w="108" w:type="dxa"/>
          <w:bottom w:w="0" w:type="dxa"/>
          <w:right w:w="108" w:type="dxa"/>
        </w:tblCellMar>
      </w:tblPr>
      <w:tblGrid>
        <w:gridCol w:w="8630"/>
      </w:tblGrid>
      <w:tr w14:paraId="1253604A">
        <w:tblPrEx>
          <w:tblCellMar>
            <w:top w:w="0" w:type="dxa"/>
            <w:left w:w="108" w:type="dxa"/>
            <w:bottom w:w="0" w:type="dxa"/>
            <w:right w:w="108" w:type="dxa"/>
          </w:tblCellMar>
        </w:tblPrEx>
        <w:trPr>
          <w:trHeight w:val="3874" w:hRule="atLeast"/>
        </w:trPr>
        <w:tc>
          <w:tcPr>
            <w:tcW w:w="8630" w:type="dxa"/>
            <w:noWrap w:val="0"/>
            <w:vAlign w:val="top"/>
          </w:tcPr>
          <w:p w14:paraId="57C9FA8B">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cs="Times New Roman"/>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14:ligatures w14:val="standardContextual"/>
              </w:rPr>
              <w:drawing>
                <wp:anchor distT="0" distB="0" distL="114300" distR="114300" simplePos="0" relativeHeight="251661312" behindDoc="0" locked="0" layoutInCell="1" allowOverlap="1">
                  <wp:simplePos x="0" y="0"/>
                  <wp:positionH relativeFrom="column">
                    <wp:posOffset>66675</wp:posOffset>
                  </wp:positionH>
                  <wp:positionV relativeFrom="paragraph">
                    <wp:posOffset>5715</wp:posOffset>
                  </wp:positionV>
                  <wp:extent cx="4955540" cy="4114800"/>
                  <wp:effectExtent l="0" t="0" r="6985" b="0"/>
                  <wp:wrapSquare wrapText="bothSides"/>
                  <wp:docPr id="419367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367169" name="图片 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55540" cy="4114800"/>
                          </a:xfrm>
                          <a:prstGeom prst="rect">
                            <a:avLst/>
                          </a:prstGeom>
                        </pic:spPr>
                      </pic:pic>
                    </a:graphicData>
                  </a:graphic>
                </wp:anchor>
              </w:drawing>
            </w:r>
          </w:p>
        </w:tc>
      </w:tr>
      <w:tr w14:paraId="6980A866">
        <w:tc>
          <w:tcPr>
            <w:tcW w:w="8630" w:type="dxa"/>
            <w:noWrap w:val="0"/>
            <w:vAlign w:val="top"/>
          </w:tcPr>
          <w:p w14:paraId="2A28188D">
            <w:pPr>
              <w:keepNext w:val="0"/>
              <w:keepLines w:val="0"/>
              <w:widowControl/>
              <w:suppressLineNumbers w:val="0"/>
              <w:spacing w:before="0" w:beforeAutospacing="0" w:after="0" w:afterAutospacing="0" w:line="276" w:lineRule="auto"/>
              <w:ind w:left="0" w:right="0" w:firstLine="420" w:firstLineChars="200"/>
              <w:jc w:val="left"/>
              <w:rPr>
                <w:rFonts w:hint="eastAsia" w:ascii="宋体" w:hAnsi="宋体" w:eastAsia="宋体" w:cs="宋体"/>
                <w:color w:val="000000" w:themeColor="text1"/>
                <w:kern w:val="0"/>
                <w:sz w:val="21"/>
                <w:szCs w:val="21"/>
                <w:highlight w:val="none"/>
                <w14:textFill>
                  <w14:solidFill>
                    <w14:schemeClr w14:val="tx1"/>
                  </w14:solidFill>
                </w14:textFill>
                <w14:ligatures w14:val="none"/>
              </w:rPr>
            </w:pPr>
            <w:r>
              <w:rPr>
                <w:rFonts w:hint="eastAsia" w:ascii="宋体" w:hAnsi="宋体" w:eastAsia="宋体" w:cs="宋体"/>
                <w:color w:val="000000" w:themeColor="text1"/>
                <w:kern w:val="0"/>
                <w:sz w:val="21"/>
                <w:szCs w:val="21"/>
                <w:highlight w:val="none"/>
                <w:lang w:val="en-US" w:eastAsia="zh-CN"/>
                <w14:textFill>
                  <w14:solidFill>
                    <w14:schemeClr w14:val="tx1"/>
                  </w14:solidFill>
                </w14:textFill>
                <w14:ligatures w14:val="none"/>
              </w:rPr>
              <w:t xml:space="preserve">图3 </w:t>
            </w:r>
            <w:r>
              <w:rPr>
                <w:rFonts w:hint="eastAsia" w:ascii="宋体" w:hAnsi="宋体" w:eastAsia="宋体" w:cs="宋体"/>
                <w:color w:val="000000" w:themeColor="text1"/>
                <w:kern w:val="0"/>
                <w:sz w:val="21"/>
                <w:szCs w:val="21"/>
                <w:highlight w:val="none"/>
                <w14:textFill>
                  <w14:solidFill>
                    <w14:schemeClr w14:val="tx1"/>
                  </w14:solidFill>
                </w14:textFill>
                <w14:ligatures w14:val="none"/>
              </w:rPr>
              <w:t>试验组和对照组各月龄犊牛</w:t>
            </w:r>
            <w:r>
              <w:rPr>
                <w:rFonts w:hint="eastAsia" w:ascii="宋体" w:hAnsi="宋体" w:eastAsia="宋体" w:cs="宋体"/>
                <w:color w:val="000000" w:themeColor="text1"/>
                <w:kern w:val="0"/>
                <w:sz w:val="21"/>
                <w:szCs w:val="21"/>
                <w:highlight w:val="none"/>
                <w:lang w:val="en-US" w:eastAsia="zh-CN"/>
                <w14:textFill>
                  <w14:solidFill>
                    <w14:schemeClr w14:val="tx1"/>
                  </w14:solidFill>
                </w14:textFill>
                <w14:ligatures w14:val="none"/>
              </w:rPr>
              <w:t>腹泻、精神、毛瑟等</w:t>
            </w:r>
            <w:r>
              <w:rPr>
                <w:rFonts w:hint="eastAsia" w:ascii="宋体" w:hAnsi="宋体" w:eastAsia="宋体" w:cs="宋体"/>
                <w:color w:val="000000" w:themeColor="text1"/>
                <w:kern w:val="0"/>
                <w:sz w:val="21"/>
                <w:szCs w:val="21"/>
                <w:highlight w:val="none"/>
                <w14:textFill>
                  <w14:solidFill>
                    <w14:schemeClr w14:val="tx1"/>
                  </w14:solidFill>
                </w14:textFill>
                <w14:ligatures w14:val="none"/>
              </w:rPr>
              <w:t>临床症状改善情况</w:t>
            </w:r>
          </w:p>
          <w:p w14:paraId="10D64381">
            <w:pPr>
              <w:keepNext w:val="0"/>
              <w:keepLines w:val="0"/>
              <w:widowControl w:val="0"/>
              <w:suppressLineNumbers w:val="0"/>
              <w:spacing w:before="0" w:beforeAutospacing="0" w:after="0" w:afterAutospacing="0" w:line="240" w:lineRule="auto"/>
              <w:ind w:left="0" w:right="0"/>
              <w:jc w:val="center"/>
              <w:rPr>
                <w:rFonts w:hint="default" w:ascii="Times New Roman" w:hAnsi="Times New Roman" w:eastAsia="宋体" w:cs="Times New Roman"/>
                <w:color w:val="000000" w:themeColor="text1"/>
                <w:highlight w:val="none"/>
                <w:lang w:val="en-US" w:eastAsia="zh-CN"/>
                <w14:textFill>
                  <w14:solidFill>
                    <w14:schemeClr w14:val="tx1"/>
                  </w14:solidFill>
                </w14:textFill>
              </w:rPr>
            </w:pPr>
          </w:p>
        </w:tc>
      </w:tr>
    </w:tbl>
    <w:p w14:paraId="289A298C">
      <w:pPr>
        <w:widowControl/>
        <w:spacing w:line="276" w:lineRule="auto"/>
        <w:ind w:firstLine="480" w:firstLineChars="200"/>
        <w:jc w:val="left"/>
        <w:rPr>
          <w:rFonts w:hint="eastAsia" w:ascii="宋体" w:hAnsi="宋体" w:eastAsia="宋体" w:cs="宋体"/>
          <w:color w:val="000000" w:themeColor="text1"/>
          <w:kern w:val="0"/>
          <w:sz w:val="24"/>
          <w:highlight w:val="none"/>
          <w:lang w:val="en-US" w:eastAsia="zh-CN"/>
          <w14:textFill>
            <w14:solidFill>
              <w14:schemeClr w14:val="tx1"/>
            </w14:solidFill>
          </w14:textFill>
          <w14:ligatures w14:val="none"/>
        </w:rPr>
      </w:pPr>
    </w:p>
    <w:p w14:paraId="7BB150C1">
      <w:pPr>
        <w:widowControl/>
        <w:spacing w:line="276" w:lineRule="auto"/>
        <w:ind w:firstLine="420" w:firstLineChars="200"/>
        <w:jc w:val="center"/>
        <w:rPr>
          <w:rFonts w:hint="eastAsia" w:ascii="宋体" w:hAnsi="宋体" w:eastAsia="宋体" w:cs="宋体"/>
          <w:color w:val="000000" w:themeColor="text1"/>
          <w:kern w:val="0"/>
          <w:sz w:val="21"/>
          <w:szCs w:val="21"/>
          <w:highlight w:val="none"/>
          <w:lang w:val="en-US" w:eastAsia="zh-CN"/>
          <w14:textFill>
            <w14:solidFill>
              <w14:schemeClr w14:val="tx1"/>
            </w14:solidFill>
          </w14:textFill>
          <w14:ligatures w14:val="none"/>
        </w:rPr>
        <w:sectPr>
          <w:headerReference r:id="rId3" w:type="default"/>
          <w:footerReference r:id="rId4" w:type="default"/>
          <w:pgSz w:w="12240" w:h="15840"/>
          <w:pgMar w:top="1440" w:right="1440" w:bottom="1440" w:left="1440" w:header="0" w:footer="0" w:gutter="0"/>
          <w:pgBorders>
            <w:top w:val="none" w:sz="0" w:space="0"/>
            <w:left w:val="none" w:sz="0" w:space="0"/>
            <w:bottom w:val="none" w:sz="0" w:space="0"/>
            <w:right w:val="none" w:sz="0" w:space="0"/>
          </w:pgBorders>
          <w:cols w:space="720" w:num="1"/>
        </w:sectPr>
      </w:pPr>
    </w:p>
    <w:p w14:paraId="5856CCC5">
      <w:pPr>
        <w:widowControl/>
        <w:spacing w:line="276" w:lineRule="auto"/>
        <w:ind w:firstLine="420" w:firstLineChars="200"/>
        <w:jc w:val="center"/>
        <w:rPr>
          <w:rFonts w:hint="eastAsia" w:ascii="宋体" w:hAnsi="宋体" w:eastAsia="宋体" w:cs="宋体"/>
          <w:color w:val="000000" w:themeColor="text1"/>
          <w:kern w:val="0"/>
          <w:sz w:val="21"/>
          <w:szCs w:val="21"/>
          <w:highlight w:val="none"/>
          <w:lang w:val="en-US" w:eastAsia="zh-CN"/>
          <w14:textFill>
            <w14:solidFill>
              <w14:schemeClr w14:val="tx1"/>
            </w14:solidFill>
          </w14:textFill>
          <w14:ligatures w14:val="none"/>
        </w:rPr>
      </w:pPr>
    </w:p>
    <w:p w14:paraId="05C4882B">
      <w:pPr>
        <w:widowControl/>
        <w:spacing w:line="276" w:lineRule="auto"/>
        <w:ind w:firstLine="420" w:firstLineChars="200"/>
        <w:jc w:val="center"/>
        <w:rPr>
          <w:rFonts w:hint="eastAsia" w:ascii="宋体" w:hAnsi="宋体" w:eastAsia="宋体" w:cs="宋体"/>
          <w:color w:val="000000" w:themeColor="text1"/>
          <w:kern w:val="0"/>
          <w:sz w:val="24"/>
          <w:highlight w:val="none"/>
          <w14:textFill>
            <w14:solidFill>
              <w14:schemeClr w14:val="tx1"/>
            </w14:solidFill>
          </w14:textFill>
          <w14:ligatures w14:val="none"/>
        </w:rPr>
      </w:pPr>
      <w:r>
        <w:rPr>
          <w:rFonts w:hint="eastAsia" w:ascii="宋体" w:hAnsi="宋体" w:eastAsia="宋体" w:cs="宋体"/>
          <w:color w:val="000000" w:themeColor="text1"/>
          <w:kern w:val="0"/>
          <w:sz w:val="21"/>
          <w:szCs w:val="21"/>
          <w:highlight w:val="none"/>
          <w:lang w:val="en-US" w:eastAsia="zh-CN"/>
          <w14:textFill>
            <w14:solidFill>
              <w14:schemeClr w14:val="tx1"/>
            </w14:solidFill>
          </w14:textFill>
          <w14:ligatures w14:val="none"/>
        </w:rPr>
        <w:t>表8</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组方1</w:t>
      </w:r>
      <w:r>
        <w:rPr>
          <w:rFonts w:hint="eastAsia" w:ascii="宋体" w:hAnsi="宋体" w:eastAsia="宋体" w:cs="宋体"/>
          <w:color w:val="000000" w:themeColor="text1"/>
          <w:kern w:val="0"/>
          <w:sz w:val="21"/>
          <w:szCs w:val="21"/>
          <w:highlight w:val="none"/>
          <w14:textFill>
            <w14:solidFill>
              <w14:schemeClr w14:val="tx1"/>
            </w14:solidFill>
          </w14:textFill>
          <w14:ligatures w14:val="none"/>
        </w:rPr>
        <w:t>治疗前后各奶牛场试验牛的免疫和抗氧化指标变化</w:t>
      </w:r>
    </w:p>
    <w:tbl>
      <w:tblPr>
        <w:tblStyle w:val="29"/>
        <w:tblpPr w:leftFromText="180" w:rightFromText="180" w:vertAnchor="text" w:horzAnchor="page" w:tblpX="1441" w:tblpY="330"/>
        <w:tblOverlap w:val="never"/>
        <w:tblW w:w="11012" w:type="dxa"/>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09"/>
        <w:gridCol w:w="1203"/>
        <w:gridCol w:w="1300"/>
        <w:gridCol w:w="1395"/>
        <w:gridCol w:w="1395"/>
        <w:gridCol w:w="1300"/>
        <w:gridCol w:w="1300"/>
        <w:gridCol w:w="1300"/>
        <w:gridCol w:w="1300"/>
      </w:tblGrid>
      <w:tr w14:paraId="23BE0FA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09" w:type="dxa"/>
            <w:tcBorders>
              <w:top w:val="single" w:color="auto" w:sz="12" w:space="0"/>
              <w:left w:val="nil"/>
              <w:bottom w:val="single" w:color="auto" w:sz="6" w:space="0"/>
              <w:right w:val="nil"/>
              <w:insideH w:val="single" w:sz="6" w:space="0"/>
              <w:insideV w:val="nil"/>
              <w:tl2br w:val="nil"/>
              <w:tr2bl w:val="nil"/>
            </w:tcBorders>
            <w:noWrap/>
          </w:tcPr>
          <w:p w14:paraId="3B5808AD">
            <w:pPr>
              <w:wordWrap/>
              <w:spacing w:line="360" w:lineRule="exact"/>
              <w:jc w:val="center"/>
              <w:rPr>
                <w:rFonts w:ascii="Times New Roman" w:hAnsi="Times New Roman" w:eastAsia="Times New Roman" w:cs="Times New Roman"/>
                <w:b w:val="0"/>
                <w:i w:val="0"/>
                <w:color w:val="000000" w:themeColor="text1"/>
                <w:sz w:val="18"/>
                <w:szCs w:val="18"/>
                <w:highlight w:val="none"/>
                <w14:textFill>
                  <w14:solidFill>
                    <w14:schemeClr w14:val="tx1"/>
                  </w14:solidFill>
                </w14:textFill>
              </w:rPr>
            </w:pPr>
          </w:p>
        </w:tc>
        <w:tc>
          <w:tcPr>
            <w:tcW w:w="1203" w:type="dxa"/>
            <w:tcBorders>
              <w:top w:val="single" w:color="auto" w:sz="12" w:space="0"/>
              <w:bottom w:val="single" w:color="auto" w:sz="6" w:space="0"/>
              <w:right w:val="nil"/>
              <w:insideH w:val="single" w:sz="6" w:space="0"/>
              <w:insideV w:val="nil"/>
              <w:tl2br w:val="nil"/>
              <w:tr2bl w:val="nil"/>
            </w:tcBorders>
            <w:noWrap/>
          </w:tcPr>
          <w:p w14:paraId="29445CFD">
            <w:pPr>
              <w:wordWrap/>
              <w:spacing w:line="360" w:lineRule="exact"/>
              <w:jc w:val="center"/>
              <w:rPr>
                <w:rFonts w:ascii="Times New Roman" w:hAnsi="Times New Roman" w:eastAsia="Times New Roman" w:cs="Times New Roman"/>
                <w:b w:val="0"/>
                <w:i w:val="0"/>
                <w:color w:val="000000" w:themeColor="text1"/>
                <w:sz w:val="18"/>
                <w:szCs w:val="18"/>
                <w:highlight w:val="none"/>
                <w14:textFill>
                  <w14:solidFill>
                    <w14:schemeClr w14:val="tx1"/>
                  </w14:solidFill>
                </w14:textFill>
              </w:rPr>
            </w:pPr>
          </w:p>
        </w:tc>
        <w:tc>
          <w:tcPr>
            <w:tcW w:w="1300" w:type="dxa"/>
            <w:tcBorders>
              <w:top w:val="single" w:color="auto" w:sz="12" w:space="0"/>
              <w:bottom w:val="single" w:color="auto" w:sz="6" w:space="0"/>
              <w:right w:val="nil"/>
              <w:insideH w:val="single" w:sz="6" w:space="0"/>
              <w:insideV w:val="nil"/>
              <w:tl2br w:val="nil"/>
              <w:tr2bl w:val="nil"/>
            </w:tcBorders>
            <w:noWrap/>
          </w:tcPr>
          <w:p w14:paraId="36D9F877">
            <w:pPr>
              <w:wordWrap/>
              <w:spacing w:line="360" w:lineRule="exact"/>
              <w:jc w:val="center"/>
              <w:rPr>
                <w:rFonts w:ascii="Times New Roman" w:hAnsi="Times New Roman" w:eastAsia="等线" w:cs="Times New Roman"/>
                <w:b w:val="0"/>
                <w:i w:val="0"/>
                <w:color w:val="000000" w:themeColor="text1"/>
                <w:sz w:val="18"/>
                <w:szCs w:val="18"/>
                <w:highlight w:val="none"/>
                <w14:textFill>
                  <w14:solidFill>
                    <w14:schemeClr w14:val="tx1"/>
                  </w14:solidFill>
                </w14:textFill>
              </w:rPr>
            </w:pPr>
            <w:r>
              <w:rPr>
                <w:rFonts w:ascii="Times New Roman" w:hAnsi="Times New Roman" w:eastAsia="等线" w:cs="Times New Roman"/>
                <w:b w:val="0"/>
                <w:i w:val="0"/>
                <w:color w:val="000000" w:themeColor="text1"/>
                <w:sz w:val="18"/>
                <w:szCs w:val="18"/>
                <w:highlight w:val="none"/>
                <w14:textFill>
                  <w14:solidFill>
                    <w14:schemeClr w14:val="tx1"/>
                  </w14:solidFill>
                </w14:textFill>
              </w:rPr>
              <w:t>IgG mg/mL</w:t>
            </w:r>
          </w:p>
        </w:tc>
        <w:tc>
          <w:tcPr>
            <w:tcW w:w="1300" w:type="dxa"/>
            <w:tcBorders>
              <w:top w:val="single" w:color="auto" w:sz="12" w:space="0"/>
              <w:bottom w:val="single" w:color="auto" w:sz="6" w:space="0"/>
              <w:right w:val="nil"/>
              <w:insideH w:val="single" w:sz="6" w:space="0"/>
              <w:insideV w:val="nil"/>
              <w:tl2br w:val="nil"/>
              <w:tr2bl w:val="nil"/>
            </w:tcBorders>
            <w:noWrap/>
          </w:tcPr>
          <w:p w14:paraId="38726737">
            <w:pPr>
              <w:wordWrap/>
              <w:spacing w:line="360" w:lineRule="exact"/>
              <w:jc w:val="center"/>
              <w:rPr>
                <w:rFonts w:ascii="Times New Roman" w:hAnsi="Times New Roman" w:eastAsia="等线" w:cs="Times New Roman"/>
                <w:b w:val="0"/>
                <w:i w:val="0"/>
                <w:color w:val="000000" w:themeColor="text1"/>
                <w:sz w:val="18"/>
                <w:szCs w:val="18"/>
                <w:highlight w:val="none"/>
                <w14:textFill>
                  <w14:solidFill>
                    <w14:schemeClr w14:val="tx1"/>
                  </w14:solidFill>
                </w14:textFill>
              </w:rPr>
            </w:pPr>
            <w:r>
              <w:rPr>
                <w:rFonts w:ascii="Times New Roman" w:hAnsi="Times New Roman" w:eastAsia="等线" w:cs="Times New Roman"/>
                <w:b w:val="0"/>
                <w:i w:val="0"/>
                <w:color w:val="000000" w:themeColor="text1"/>
                <w:sz w:val="18"/>
                <w:szCs w:val="18"/>
                <w:highlight w:val="none"/>
                <w14:textFill>
                  <w14:solidFill>
                    <w14:schemeClr w14:val="tx1"/>
                  </w14:solidFill>
                </w14:textFill>
              </w:rPr>
              <w:t>IgM ug/mL</w:t>
            </w:r>
          </w:p>
        </w:tc>
        <w:tc>
          <w:tcPr>
            <w:tcW w:w="1300" w:type="dxa"/>
            <w:tcBorders>
              <w:top w:val="single" w:color="auto" w:sz="12" w:space="0"/>
              <w:bottom w:val="single" w:color="auto" w:sz="6" w:space="0"/>
              <w:right w:val="nil"/>
              <w:insideH w:val="single" w:sz="6" w:space="0"/>
              <w:insideV w:val="nil"/>
              <w:tl2br w:val="nil"/>
              <w:tr2bl w:val="nil"/>
            </w:tcBorders>
            <w:noWrap/>
          </w:tcPr>
          <w:p w14:paraId="3222EA5D">
            <w:pPr>
              <w:wordWrap/>
              <w:spacing w:line="360" w:lineRule="exact"/>
              <w:jc w:val="center"/>
              <w:rPr>
                <w:rFonts w:ascii="Times New Roman" w:hAnsi="Times New Roman" w:eastAsia="等线" w:cs="Times New Roman"/>
                <w:b w:val="0"/>
                <w:i w:val="0"/>
                <w:color w:val="000000" w:themeColor="text1"/>
                <w:sz w:val="18"/>
                <w:szCs w:val="18"/>
                <w:highlight w:val="none"/>
                <w14:textFill>
                  <w14:solidFill>
                    <w14:schemeClr w14:val="tx1"/>
                  </w14:solidFill>
                </w14:textFill>
              </w:rPr>
            </w:pPr>
            <w:r>
              <w:rPr>
                <w:rFonts w:ascii="Times New Roman" w:hAnsi="Times New Roman" w:eastAsia="等线" w:cs="Times New Roman"/>
                <w:b w:val="0"/>
                <w:i w:val="0"/>
                <w:color w:val="000000" w:themeColor="text1"/>
                <w:sz w:val="18"/>
                <w:szCs w:val="18"/>
                <w:highlight w:val="none"/>
                <w14:textFill>
                  <w14:solidFill>
                    <w14:schemeClr w14:val="tx1"/>
                  </w14:solidFill>
                </w14:textFill>
              </w:rPr>
              <w:t>IgA ug/mL</w:t>
            </w:r>
          </w:p>
        </w:tc>
        <w:tc>
          <w:tcPr>
            <w:tcW w:w="1300" w:type="dxa"/>
            <w:tcBorders>
              <w:top w:val="single" w:color="auto" w:sz="12" w:space="0"/>
              <w:bottom w:val="single" w:color="auto" w:sz="6" w:space="0"/>
              <w:right w:val="nil"/>
              <w:insideH w:val="single" w:sz="6" w:space="0"/>
              <w:insideV w:val="nil"/>
              <w:tl2br w:val="nil"/>
              <w:tr2bl w:val="nil"/>
            </w:tcBorders>
            <w:noWrap/>
          </w:tcPr>
          <w:p w14:paraId="6CD5E37B">
            <w:pPr>
              <w:wordWrap/>
              <w:spacing w:line="360" w:lineRule="exact"/>
              <w:jc w:val="center"/>
              <w:rPr>
                <w:rFonts w:ascii="Times New Roman" w:hAnsi="Times New Roman" w:eastAsia="等线" w:cs="Times New Roman"/>
                <w:b w:val="0"/>
                <w:i w:val="0"/>
                <w:color w:val="000000" w:themeColor="text1"/>
                <w:sz w:val="18"/>
                <w:szCs w:val="18"/>
                <w:highlight w:val="none"/>
                <w14:textFill>
                  <w14:solidFill>
                    <w14:schemeClr w14:val="tx1"/>
                  </w14:solidFill>
                </w14:textFill>
              </w:rPr>
            </w:pPr>
            <w:r>
              <w:rPr>
                <w:rFonts w:ascii="Times New Roman" w:hAnsi="Times New Roman" w:eastAsia="等线" w:cs="Times New Roman"/>
                <w:b w:val="0"/>
                <w:i w:val="0"/>
                <w:color w:val="000000" w:themeColor="text1"/>
                <w:sz w:val="18"/>
                <w:szCs w:val="18"/>
                <w:highlight w:val="none"/>
                <w14:textFill>
                  <w14:solidFill>
                    <w14:schemeClr w14:val="tx1"/>
                  </w14:solidFill>
                </w14:textFill>
              </w:rPr>
              <w:t>T-AOC ug/mL</w:t>
            </w:r>
          </w:p>
        </w:tc>
        <w:tc>
          <w:tcPr>
            <w:tcW w:w="1300" w:type="dxa"/>
            <w:tcBorders>
              <w:top w:val="single" w:color="auto" w:sz="12" w:space="0"/>
              <w:bottom w:val="single" w:color="auto" w:sz="6" w:space="0"/>
              <w:right w:val="nil"/>
              <w:insideH w:val="single" w:sz="6" w:space="0"/>
              <w:insideV w:val="nil"/>
              <w:tl2br w:val="nil"/>
              <w:tr2bl w:val="nil"/>
            </w:tcBorders>
            <w:noWrap/>
          </w:tcPr>
          <w:p w14:paraId="0AA15ABC">
            <w:pPr>
              <w:wordWrap/>
              <w:spacing w:line="360" w:lineRule="exact"/>
              <w:jc w:val="center"/>
              <w:rPr>
                <w:rFonts w:ascii="Times New Roman" w:hAnsi="Times New Roman" w:eastAsia="等线" w:cs="Times New Roman"/>
                <w:b w:val="0"/>
                <w:i w:val="0"/>
                <w:color w:val="000000" w:themeColor="text1"/>
                <w:sz w:val="18"/>
                <w:szCs w:val="18"/>
                <w:highlight w:val="none"/>
                <w14:textFill>
                  <w14:solidFill>
                    <w14:schemeClr w14:val="tx1"/>
                  </w14:solidFill>
                </w14:textFill>
              </w:rPr>
            </w:pPr>
            <w:r>
              <w:rPr>
                <w:rFonts w:ascii="Times New Roman" w:hAnsi="Times New Roman" w:eastAsia="等线" w:cs="Times New Roman"/>
                <w:b w:val="0"/>
                <w:i w:val="0"/>
                <w:color w:val="000000" w:themeColor="text1"/>
                <w:sz w:val="18"/>
                <w:szCs w:val="18"/>
                <w:highlight w:val="none"/>
                <w14:textFill>
                  <w14:solidFill>
                    <w14:schemeClr w14:val="tx1"/>
                  </w14:solidFill>
                </w14:textFill>
              </w:rPr>
              <w:t>SOD ng/mL</w:t>
            </w:r>
          </w:p>
        </w:tc>
        <w:tc>
          <w:tcPr>
            <w:tcW w:w="1300" w:type="dxa"/>
            <w:tcBorders>
              <w:top w:val="single" w:color="auto" w:sz="12" w:space="0"/>
              <w:bottom w:val="single" w:color="auto" w:sz="6" w:space="0"/>
              <w:right w:val="nil"/>
              <w:insideH w:val="single" w:sz="6" w:space="0"/>
              <w:insideV w:val="nil"/>
              <w:tl2br w:val="nil"/>
              <w:tr2bl w:val="nil"/>
            </w:tcBorders>
            <w:noWrap/>
          </w:tcPr>
          <w:p w14:paraId="095C11C4">
            <w:pPr>
              <w:wordWrap/>
              <w:spacing w:line="360" w:lineRule="exact"/>
              <w:jc w:val="center"/>
              <w:rPr>
                <w:rFonts w:ascii="Times New Roman" w:hAnsi="Times New Roman" w:eastAsia="等线" w:cs="Times New Roman"/>
                <w:b w:val="0"/>
                <w:i w:val="0"/>
                <w:color w:val="000000" w:themeColor="text1"/>
                <w:sz w:val="18"/>
                <w:szCs w:val="18"/>
                <w:highlight w:val="none"/>
                <w14:textFill>
                  <w14:solidFill>
                    <w14:schemeClr w14:val="tx1"/>
                  </w14:solidFill>
                </w14:textFill>
              </w:rPr>
            </w:pPr>
            <w:r>
              <w:rPr>
                <w:rFonts w:ascii="Times New Roman" w:hAnsi="Times New Roman" w:eastAsia="等线" w:cs="Times New Roman"/>
                <w:b w:val="0"/>
                <w:i w:val="0"/>
                <w:color w:val="000000" w:themeColor="text1"/>
                <w:sz w:val="18"/>
                <w:szCs w:val="18"/>
                <w:highlight w:val="none"/>
                <w14:textFill>
                  <w14:solidFill>
                    <w14:schemeClr w14:val="tx1"/>
                  </w14:solidFill>
                </w14:textFill>
              </w:rPr>
              <w:t>MDA nmol/mL</w:t>
            </w:r>
          </w:p>
        </w:tc>
        <w:tc>
          <w:tcPr>
            <w:tcW w:w="1300" w:type="dxa"/>
            <w:tcBorders>
              <w:top w:val="single" w:color="auto" w:sz="12" w:space="0"/>
              <w:bottom w:val="single" w:color="auto" w:sz="6" w:space="0"/>
              <w:right w:val="nil"/>
              <w:insideH w:val="single" w:sz="6" w:space="0"/>
              <w:insideV w:val="nil"/>
              <w:tl2br w:val="nil"/>
              <w:tr2bl w:val="nil"/>
            </w:tcBorders>
            <w:noWrap/>
          </w:tcPr>
          <w:p w14:paraId="5F1937A9">
            <w:pPr>
              <w:wordWrap/>
              <w:spacing w:line="360" w:lineRule="exact"/>
              <w:jc w:val="center"/>
              <w:rPr>
                <w:rFonts w:ascii="Times New Roman" w:hAnsi="Times New Roman" w:eastAsia="等线" w:cs="Times New Roman"/>
                <w:b w:val="0"/>
                <w:i w:val="0"/>
                <w:color w:val="000000" w:themeColor="text1"/>
                <w:sz w:val="18"/>
                <w:szCs w:val="18"/>
                <w:highlight w:val="none"/>
                <w14:textFill>
                  <w14:solidFill>
                    <w14:schemeClr w14:val="tx1"/>
                  </w14:solidFill>
                </w14:textFill>
              </w:rPr>
            </w:pPr>
            <w:r>
              <w:rPr>
                <w:rFonts w:ascii="Times New Roman" w:hAnsi="Times New Roman" w:eastAsia="等线" w:cs="Times New Roman"/>
                <w:b w:val="0"/>
                <w:i w:val="0"/>
                <w:color w:val="000000" w:themeColor="text1"/>
                <w:sz w:val="18"/>
                <w:szCs w:val="18"/>
                <w:highlight w:val="none"/>
                <w14:textFill>
                  <w14:solidFill>
                    <w14:schemeClr w14:val="tx1"/>
                  </w14:solidFill>
                </w14:textFill>
              </w:rPr>
              <w:t>CAT ng/mL</w:t>
            </w:r>
          </w:p>
        </w:tc>
      </w:tr>
      <w:tr w14:paraId="669FE92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709" w:type="dxa"/>
            <w:vMerge w:val="restart"/>
            <w:noWrap/>
            <w:vAlign w:val="center"/>
          </w:tcPr>
          <w:p w14:paraId="757A7B06">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A Dairy farm</w:t>
            </w:r>
          </w:p>
        </w:tc>
        <w:tc>
          <w:tcPr>
            <w:tcW w:w="1203" w:type="dxa"/>
            <w:noWrap/>
          </w:tcPr>
          <w:p w14:paraId="38690CBE">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Before the test</w:t>
            </w:r>
          </w:p>
        </w:tc>
        <w:tc>
          <w:tcPr>
            <w:tcW w:w="1300" w:type="dxa"/>
            <w:noWrap/>
          </w:tcPr>
          <w:p w14:paraId="65B76F0F">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6.53±0.51</w:t>
            </w:r>
          </w:p>
        </w:tc>
        <w:tc>
          <w:tcPr>
            <w:tcW w:w="1300" w:type="dxa"/>
            <w:noWrap/>
          </w:tcPr>
          <w:p w14:paraId="74158C9D">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1658.34±121.02</w:t>
            </w:r>
          </w:p>
        </w:tc>
        <w:tc>
          <w:tcPr>
            <w:tcW w:w="1300" w:type="dxa"/>
            <w:noWrap/>
          </w:tcPr>
          <w:p w14:paraId="1F60D35F">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2368.74±255.19</w:t>
            </w:r>
          </w:p>
        </w:tc>
        <w:tc>
          <w:tcPr>
            <w:tcW w:w="1300" w:type="dxa"/>
            <w:noWrap/>
          </w:tcPr>
          <w:p w14:paraId="6C57DC80">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0.28±0.05</w:t>
            </w:r>
          </w:p>
        </w:tc>
        <w:tc>
          <w:tcPr>
            <w:tcW w:w="1300" w:type="dxa"/>
            <w:noWrap/>
          </w:tcPr>
          <w:p w14:paraId="2B349D14">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8.06±0.51</w:t>
            </w:r>
          </w:p>
        </w:tc>
        <w:tc>
          <w:tcPr>
            <w:tcW w:w="1300" w:type="dxa"/>
            <w:noWrap/>
          </w:tcPr>
          <w:p w14:paraId="4B5BA391">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9.93±0.54</w:t>
            </w:r>
          </w:p>
        </w:tc>
        <w:tc>
          <w:tcPr>
            <w:tcW w:w="1300" w:type="dxa"/>
            <w:noWrap/>
          </w:tcPr>
          <w:p w14:paraId="31939381">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174.88±7.26</w:t>
            </w:r>
          </w:p>
        </w:tc>
      </w:tr>
      <w:tr w14:paraId="3E89C18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09" w:type="dxa"/>
            <w:vMerge w:val="continue"/>
            <w:vAlign w:val="center"/>
          </w:tcPr>
          <w:p w14:paraId="42EE7953">
            <w:pPr>
              <w:jc w:val="center"/>
              <w:rPr>
                <w:rFonts w:ascii="Times New Roman" w:hAnsi="Times New Roman" w:eastAsia="等线" w:cs="Times New Roman"/>
                <w:color w:val="000000" w:themeColor="text1"/>
                <w:sz w:val="18"/>
                <w:szCs w:val="18"/>
                <w:highlight w:val="none"/>
                <w14:textFill>
                  <w14:solidFill>
                    <w14:schemeClr w14:val="tx1"/>
                  </w14:solidFill>
                </w14:textFill>
              </w:rPr>
            </w:pPr>
          </w:p>
        </w:tc>
        <w:tc>
          <w:tcPr>
            <w:tcW w:w="1203" w:type="dxa"/>
            <w:noWrap/>
          </w:tcPr>
          <w:p w14:paraId="331E0C11">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After the test</w:t>
            </w:r>
          </w:p>
        </w:tc>
        <w:tc>
          <w:tcPr>
            <w:tcW w:w="1300" w:type="dxa"/>
            <w:noWrap/>
          </w:tcPr>
          <w:p w14:paraId="6BFB2B1A">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7.05±0.49</w:t>
            </w:r>
          </w:p>
        </w:tc>
        <w:tc>
          <w:tcPr>
            <w:tcW w:w="1300" w:type="dxa"/>
            <w:noWrap/>
          </w:tcPr>
          <w:p w14:paraId="3930F01A">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1673.55±129.47</w:t>
            </w:r>
          </w:p>
        </w:tc>
        <w:tc>
          <w:tcPr>
            <w:tcW w:w="1300" w:type="dxa"/>
            <w:noWrap/>
          </w:tcPr>
          <w:p w14:paraId="731B7D2E">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2179.58±312.34</w:t>
            </w:r>
          </w:p>
        </w:tc>
        <w:tc>
          <w:tcPr>
            <w:tcW w:w="1300" w:type="dxa"/>
            <w:noWrap/>
          </w:tcPr>
          <w:p w14:paraId="03C3A52D">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0.29±0.04</w:t>
            </w:r>
          </w:p>
        </w:tc>
        <w:tc>
          <w:tcPr>
            <w:tcW w:w="1300" w:type="dxa"/>
            <w:noWrap/>
          </w:tcPr>
          <w:p w14:paraId="457E647B">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8.09±0.54</w:t>
            </w:r>
          </w:p>
        </w:tc>
        <w:tc>
          <w:tcPr>
            <w:tcW w:w="1300" w:type="dxa"/>
            <w:noWrap/>
          </w:tcPr>
          <w:p w14:paraId="46C7EFA5">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10.04±0.75</w:t>
            </w:r>
          </w:p>
        </w:tc>
        <w:tc>
          <w:tcPr>
            <w:tcW w:w="1300" w:type="dxa"/>
            <w:noWrap/>
          </w:tcPr>
          <w:p w14:paraId="68416B01">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176.15±7.15</w:t>
            </w:r>
          </w:p>
        </w:tc>
      </w:tr>
      <w:tr w14:paraId="217ADA8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09" w:type="dxa"/>
            <w:vMerge w:val="continue"/>
            <w:vAlign w:val="center"/>
          </w:tcPr>
          <w:p w14:paraId="6334EB27">
            <w:pPr>
              <w:jc w:val="center"/>
              <w:rPr>
                <w:rFonts w:ascii="Times New Roman" w:hAnsi="Times New Roman" w:eastAsia="等线" w:cs="Times New Roman"/>
                <w:color w:val="000000" w:themeColor="text1"/>
                <w:sz w:val="18"/>
                <w:szCs w:val="18"/>
                <w:highlight w:val="none"/>
                <w14:textFill>
                  <w14:solidFill>
                    <w14:schemeClr w14:val="tx1"/>
                  </w14:solidFill>
                </w14:textFill>
              </w:rPr>
            </w:pPr>
          </w:p>
        </w:tc>
        <w:tc>
          <w:tcPr>
            <w:tcW w:w="1203" w:type="dxa"/>
            <w:noWrap/>
          </w:tcPr>
          <w:p w14:paraId="272BE587">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 xml:space="preserve">P Value </w:t>
            </w:r>
          </w:p>
        </w:tc>
        <w:tc>
          <w:tcPr>
            <w:tcW w:w="1300" w:type="dxa"/>
            <w:noWrap/>
          </w:tcPr>
          <w:p w14:paraId="65B049E2">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p=0.007</w:t>
            </w:r>
          </w:p>
        </w:tc>
        <w:tc>
          <w:tcPr>
            <w:tcW w:w="1300" w:type="dxa"/>
            <w:noWrap/>
          </w:tcPr>
          <w:p w14:paraId="3F75726D">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p=0.74</w:t>
            </w:r>
          </w:p>
        </w:tc>
        <w:tc>
          <w:tcPr>
            <w:tcW w:w="1300" w:type="dxa"/>
            <w:noWrap/>
          </w:tcPr>
          <w:p w14:paraId="304F1B39">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p=0.08</w:t>
            </w:r>
          </w:p>
        </w:tc>
        <w:tc>
          <w:tcPr>
            <w:tcW w:w="1300" w:type="dxa"/>
            <w:noWrap/>
          </w:tcPr>
          <w:p w14:paraId="4072372A">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p=0.65</w:t>
            </w:r>
          </w:p>
        </w:tc>
        <w:tc>
          <w:tcPr>
            <w:tcW w:w="1300" w:type="dxa"/>
            <w:noWrap/>
          </w:tcPr>
          <w:p w14:paraId="4CB1AF5B">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p=0.85</w:t>
            </w:r>
          </w:p>
        </w:tc>
        <w:tc>
          <w:tcPr>
            <w:tcW w:w="1300" w:type="dxa"/>
            <w:noWrap/>
          </w:tcPr>
          <w:p w14:paraId="57F72CC2">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p=0.67</w:t>
            </w:r>
          </w:p>
        </w:tc>
        <w:tc>
          <w:tcPr>
            <w:tcW w:w="1300" w:type="dxa"/>
            <w:noWrap/>
          </w:tcPr>
          <w:p w14:paraId="48581C27">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p=0.63</w:t>
            </w:r>
          </w:p>
        </w:tc>
      </w:tr>
      <w:tr w14:paraId="01B3B39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09" w:type="dxa"/>
            <w:vMerge w:val="restart"/>
            <w:noWrap/>
            <w:vAlign w:val="center"/>
          </w:tcPr>
          <w:p w14:paraId="0D5C8F8B">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B Dairy farm</w:t>
            </w:r>
          </w:p>
        </w:tc>
        <w:tc>
          <w:tcPr>
            <w:tcW w:w="1203" w:type="dxa"/>
            <w:noWrap/>
          </w:tcPr>
          <w:p w14:paraId="7F993037">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Before the test</w:t>
            </w:r>
          </w:p>
        </w:tc>
        <w:tc>
          <w:tcPr>
            <w:tcW w:w="1300" w:type="dxa"/>
            <w:noWrap/>
          </w:tcPr>
          <w:p w14:paraId="11AE23DD">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6.81±0.69</w:t>
            </w:r>
          </w:p>
        </w:tc>
        <w:tc>
          <w:tcPr>
            <w:tcW w:w="1300" w:type="dxa"/>
            <w:noWrap/>
          </w:tcPr>
          <w:p w14:paraId="70C3FEA4">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1495.44±139.48</w:t>
            </w:r>
          </w:p>
        </w:tc>
        <w:tc>
          <w:tcPr>
            <w:tcW w:w="1300" w:type="dxa"/>
            <w:noWrap/>
          </w:tcPr>
          <w:p w14:paraId="4C44C539">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1331.08±255.51</w:t>
            </w:r>
          </w:p>
        </w:tc>
        <w:tc>
          <w:tcPr>
            <w:tcW w:w="1300" w:type="dxa"/>
            <w:noWrap/>
          </w:tcPr>
          <w:p w14:paraId="06AA0314">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0.28±0.03</w:t>
            </w:r>
          </w:p>
        </w:tc>
        <w:tc>
          <w:tcPr>
            <w:tcW w:w="1300" w:type="dxa"/>
            <w:noWrap/>
          </w:tcPr>
          <w:p w14:paraId="5E793CC4">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7.84±0.49</w:t>
            </w:r>
          </w:p>
        </w:tc>
        <w:tc>
          <w:tcPr>
            <w:tcW w:w="1300" w:type="dxa"/>
            <w:noWrap/>
          </w:tcPr>
          <w:p w14:paraId="79185B89">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10.04±0.52</w:t>
            </w:r>
          </w:p>
        </w:tc>
        <w:tc>
          <w:tcPr>
            <w:tcW w:w="1300" w:type="dxa"/>
            <w:noWrap/>
          </w:tcPr>
          <w:p w14:paraId="52ECD826">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161.74±10.78</w:t>
            </w:r>
          </w:p>
        </w:tc>
      </w:tr>
      <w:tr w14:paraId="1DA3EF3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09" w:type="dxa"/>
            <w:vMerge w:val="continue"/>
            <w:vAlign w:val="center"/>
          </w:tcPr>
          <w:p w14:paraId="6B7737A7">
            <w:pPr>
              <w:jc w:val="center"/>
              <w:rPr>
                <w:rFonts w:ascii="Times New Roman" w:hAnsi="Times New Roman" w:eastAsia="等线" w:cs="Times New Roman"/>
                <w:color w:val="000000" w:themeColor="text1"/>
                <w:sz w:val="18"/>
                <w:szCs w:val="18"/>
                <w:highlight w:val="none"/>
                <w14:textFill>
                  <w14:solidFill>
                    <w14:schemeClr w14:val="tx1"/>
                  </w14:solidFill>
                </w14:textFill>
              </w:rPr>
            </w:pPr>
          </w:p>
        </w:tc>
        <w:tc>
          <w:tcPr>
            <w:tcW w:w="1203" w:type="dxa"/>
            <w:noWrap/>
          </w:tcPr>
          <w:p w14:paraId="21E8D23E">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After the test</w:t>
            </w:r>
          </w:p>
        </w:tc>
        <w:tc>
          <w:tcPr>
            <w:tcW w:w="1300" w:type="dxa"/>
            <w:noWrap/>
          </w:tcPr>
          <w:p w14:paraId="7B303151">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6.74±0.62</w:t>
            </w:r>
          </w:p>
        </w:tc>
        <w:tc>
          <w:tcPr>
            <w:tcW w:w="1300" w:type="dxa"/>
            <w:noWrap/>
          </w:tcPr>
          <w:p w14:paraId="6DFE9308">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1374.56±189.81</w:t>
            </w:r>
          </w:p>
        </w:tc>
        <w:tc>
          <w:tcPr>
            <w:tcW w:w="1300" w:type="dxa"/>
            <w:noWrap/>
          </w:tcPr>
          <w:p w14:paraId="3FAEBD9C">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1977.63±592.46</w:t>
            </w:r>
          </w:p>
        </w:tc>
        <w:tc>
          <w:tcPr>
            <w:tcW w:w="1300" w:type="dxa"/>
            <w:noWrap/>
          </w:tcPr>
          <w:p w14:paraId="495FF48B">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0.27±0.06</w:t>
            </w:r>
          </w:p>
        </w:tc>
        <w:tc>
          <w:tcPr>
            <w:tcW w:w="1300" w:type="dxa"/>
            <w:noWrap/>
          </w:tcPr>
          <w:p w14:paraId="2970DACA">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7.68±0.75</w:t>
            </w:r>
          </w:p>
        </w:tc>
        <w:tc>
          <w:tcPr>
            <w:tcW w:w="1300" w:type="dxa"/>
            <w:noWrap/>
          </w:tcPr>
          <w:p w14:paraId="7201D9FD">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9.75±0.75</w:t>
            </w:r>
          </w:p>
        </w:tc>
        <w:tc>
          <w:tcPr>
            <w:tcW w:w="1300" w:type="dxa"/>
            <w:noWrap/>
          </w:tcPr>
          <w:p w14:paraId="670EAB6F">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165.84±5.54</w:t>
            </w:r>
          </w:p>
        </w:tc>
      </w:tr>
      <w:tr w14:paraId="67CE5D8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09" w:type="dxa"/>
            <w:vMerge w:val="continue"/>
            <w:vAlign w:val="center"/>
          </w:tcPr>
          <w:p w14:paraId="2DC6BA3B">
            <w:pPr>
              <w:jc w:val="center"/>
              <w:rPr>
                <w:rFonts w:ascii="Times New Roman" w:hAnsi="Times New Roman" w:eastAsia="等线" w:cs="Times New Roman"/>
                <w:color w:val="000000" w:themeColor="text1"/>
                <w:sz w:val="18"/>
                <w:szCs w:val="18"/>
                <w:highlight w:val="none"/>
                <w14:textFill>
                  <w14:solidFill>
                    <w14:schemeClr w14:val="tx1"/>
                  </w14:solidFill>
                </w14:textFill>
              </w:rPr>
            </w:pPr>
          </w:p>
        </w:tc>
        <w:tc>
          <w:tcPr>
            <w:tcW w:w="1203" w:type="dxa"/>
            <w:noWrap/>
          </w:tcPr>
          <w:p w14:paraId="21D2960F">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 xml:space="preserve">P Value </w:t>
            </w:r>
          </w:p>
        </w:tc>
        <w:tc>
          <w:tcPr>
            <w:tcW w:w="1300" w:type="dxa"/>
            <w:noWrap/>
          </w:tcPr>
          <w:p w14:paraId="7CAEB61F">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p=0.77</w:t>
            </w:r>
          </w:p>
        </w:tc>
        <w:tc>
          <w:tcPr>
            <w:tcW w:w="1300" w:type="dxa"/>
            <w:noWrap/>
          </w:tcPr>
          <w:p w14:paraId="7EC95728">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p=0.06</w:t>
            </w:r>
          </w:p>
        </w:tc>
        <w:tc>
          <w:tcPr>
            <w:tcW w:w="1300" w:type="dxa"/>
            <w:noWrap/>
          </w:tcPr>
          <w:p w14:paraId="19ED0563">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p=0.0008</w:t>
            </w:r>
          </w:p>
        </w:tc>
        <w:tc>
          <w:tcPr>
            <w:tcW w:w="1300" w:type="dxa"/>
            <w:noWrap/>
          </w:tcPr>
          <w:p w14:paraId="06CB6B3B">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P=0.49</w:t>
            </w:r>
          </w:p>
        </w:tc>
        <w:tc>
          <w:tcPr>
            <w:tcW w:w="1300" w:type="dxa"/>
            <w:noWrap/>
          </w:tcPr>
          <w:p w14:paraId="4ECD4769">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P=0.51</w:t>
            </w:r>
          </w:p>
        </w:tc>
        <w:tc>
          <w:tcPr>
            <w:tcW w:w="1300" w:type="dxa"/>
            <w:noWrap/>
          </w:tcPr>
          <w:p w14:paraId="72C8D391">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P=0.51</w:t>
            </w:r>
          </w:p>
        </w:tc>
        <w:tc>
          <w:tcPr>
            <w:tcW w:w="1300" w:type="dxa"/>
            <w:noWrap/>
          </w:tcPr>
          <w:p w14:paraId="271B7D58">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P=0.2</w:t>
            </w:r>
          </w:p>
        </w:tc>
      </w:tr>
      <w:tr w14:paraId="0A45AD1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09" w:type="dxa"/>
            <w:vMerge w:val="restart"/>
            <w:noWrap/>
            <w:vAlign w:val="center"/>
          </w:tcPr>
          <w:p w14:paraId="5D79BBBF">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C Dairy farm</w:t>
            </w:r>
          </w:p>
        </w:tc>
        <w:tc>
          <w:tcPr>
            <w:tcW w:w="1203" w:type="dxa"/>
            <w:noWrap/>
          </w:tcPr>
          <w:p w14:paraId="2F861CB6">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Before the test</w:t>
            </w:r>
          </w:p>
        </w:tc>
        <w:tc>
          <w:tcPr>
            <w:tcW w:w="1300" w:type="dxa"/>
            <w:noWrap/>
          </w:tcPr>
          <w:p w14:paraId="40DDB657">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6.07±0.62</w:t>
            </w:r>
          </w:p>
        </w:tc>
        <w:tc>
          <w:tcPr>
            <w:tcW w:w="1300" w:type="dxa"/>
            <w:noWrap/>
          </w:tcPr>
          <w:p w14:paraId="07209284">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1457.98±227.6</w:t>
            </w:r>
          </w:p>
        </w:tc>
        <w:tc>
          <w:tcPr>
            <w:tcW w:w="1300" w:type="dxa"/>
            <w:noWrap/>
          </w:tcPr>
          <w:p w14:paraId="0BDFA657">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2653.87±694.8</w:t>
            </w:r>
          </w:p>
        </w:tc>
        <w:tc>
          <w:tcPr>
            <w:tcW w:w="1300" w:type="dxa"/>
            <w:noWrap/>
          </w:tcPr>
          <w:p w14:paraId="234BEF19">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0.31±0.05</w:t>
            </w:r>
          </w:p>
        </w:tc>
        <w:tc>
          <w:tcPr>
            <w:tcW w:w="1300" w:type="dxa"/>
            <w:noWrap/>
          </w:tcPr>
          <w:p w14:paraId="40036259">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7.06±0.65</w:t>
            </w:r>
          </w:p>
        </w:tc>
        <w:tc>
          <w:tcPr>
            <w:tcW w:w="1300" w:type="dxa"/>
            <w:noWrap/>
          </w:tcPr>
          <w:p w14:paraId="07161460">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9.89±0.57</w:t>
            </w:r>
          </w:p>
        </w:tc>
        <w:tc>
          <w:tcPr>
            <w:tcW w:w="1300" w:type="dxa"/>
            <w:noWrap/>
          </w:tcPr>
          <w:p w14:paraId="252AF9C1">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154.68±13.87</w:t>
            </w:r>
          </w:p>
        </w:tc>
      </w:tr>
      <w:tr w14:paraId="279B97D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09" w:type="dxa"/>
            <w:vMerge w:val="continue"/>
          </w:tcPr>
          <w:p w14:paraId="1FFEB1B9">
            <w:pPr>
              <w:rPr>
                <w:rFonts w:ascii="等线" w:hAnsi="等线" w:eastAsia="等线"/>
                <w:color w:val="000000" w:themeColor="text1"/>
                <w:sz w:val="18"/>
                <w:szCs w:val="18"/>
                <w:highlight w:val="none"/>
                <w14:textFill>
                  <w14:solidFill>
                    <w14:schemeClr w14:val="tx1"/>
                  </w14:solidFill>
                </w14:textFill>
              </w:rPr>
            </w:pPr>
          </w:p>
        </w:tc>
        <w:tc>
          <w:tcPr>
            <w:tcW w:w="1203" w:type="dxa"/>
            <w:noWrap/>
          </w:tcPr>
          <w:p w14:paraId="294AA7F9">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After the test</w:t>
            </w:r>
          </w:p>
        </w:tc>
        <w:tc>
          <w:tcPr>
            <w:tcW w:w="1300" w:type="dxa"/>
            <w:noWrap/>
          </w:tcPr>
          <w:p w14:paraId="71BD230C">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6.82±0.62</w:t>
            </w:r>
          </w:p>
        </w:tc>
        <w:tc>
          <w:tcPr>
            <w:tcW w:w="1300" w:type="dxa"/>
            <w:noWrap/>
          </w:tcPr>
          <w:p w14:paraId="1CB4BF6D">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1657.8±110.24</w:t>
            </w:r>
          </w:p>
        </w:tc>
        <w:tc>
          <w:tcPr>
            <w:tcW w:w="1300" w:type="dxa"/>
            <w:noWrap/>
          </w:tcPr>
          <w:p w14:paraId="45B4545E">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2661.97±156.64</w:t>
            </w:r>
          </w:p>
        </w:tc>
        <w:tc>
          <w:tcPr>
            <w:tcW w:w="1300" w:type="dxa"/>
            <w:noWrap/>
          </w:tcPr>
          <w:p w14:paraId="381A0547">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0.29±0.06</w:t>
            </w:r>
          </w:p>
        </w:tc>
        <w:tc>
          <w:tcPr>
            <w:tcW w:w="1300" w:type="dxa"/>
            <w:noWrap/>
          </w:tcPr>
          <w:p w14:paraId="116C8C94">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7.68±0.63</w:t>
            </w:r>
          </w:p>
        </w:tc>
        <w:tc>
          <w:tcPr>
            <w:tcW w:w="1300" w:type="dxa"/>
            <w:noWrap/>
          </w:tcPr>
          <w:p w14:paraId="40BB5B90">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9.31±0.78</w:t>
            </w:r>
          </w:p>
        </w:tc>
        <w:tc>
          <w:tcPr>
            <w:tcW w:w="1300" w:type="dxa"/>
            <w:noWrap/>
          </w:tcPr>
          <w:p w14:paraId="2670DDC0">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160.95±9.92</w:t>
            </w:r>
          </w:p>
        </w:tc>
      </w:tr>
      <w:tr w14:paraId="69A2CB4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709" w:type="dxa"/>
            <w:vMerge w:val="continue"/>
          </w:tcPr>
          <w:p w14:paraId="0A78E63C">
            <w:pPr>
              <w:rPr>
                <w:rFonts w:ascii="等线" w:hAnsi="等线" w:eastAsia="等线"/>
                <w:color w:val="000000" w:themeColor="text1"/>
                <w:sz w:val="18"/>
                <w:szCs w:val="18"/>
                <w:highlight w:val="none"/>
                <w14:textFill>
                  <w14:solidFill>
                    <w14:schemeClr w14:val="tx1"/>
                  </w14:solidFill>
                </w14:textFill>
              </w:rPr>
            </w:pPr>
          </w:p>
        </w:tc>
        <w:tc>
          <w:tcPr>
            <w:tcW w:w="1203" w:type="dxa"/>
            <w:noWrap/>
          </w:tcPr>
          <w:p w14:paraId="59DA4FD8">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 xml:space="preserve">P Value </w:t>
            </w:r>
          </w:p>
        </w:tc>
        <w:tc>
          <w:tcPr>
            <w:tcW w:w="1300" w:type="dxa"/>
            <w:noWrap/>
          </w:tcPr>
          <w:p w14:paraId="48DA2F9C">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w:t>
            </w:r>
            <w:r>
              <w:rPr>
                <w:rFonts w:hint="eastAsia" w:cs="Times New Roman"/>
                <w:color w:val="000000" w:themeColor="text1"/>
                <w:sz w:val="18"/>
                <w:szCs w:val="18"/>
                <w:highlight w:val="none"/>
                <w14:textFill>
                  <w14:solidFill>
                    <w14:schemeClr w14:val="tx1"/>
                  </w14:solidFill>
                </w14:textFill>
              </w:rPr>
              <w:t>＜</w:t>
            </w:r>
            <w:r>
              <w:rPr>
                <w:rFonts w:ascii="Times New Roman" w:hAnsi="Times New Roman" w:eastAsia="等线" w:cs="Times New Roman"/>
                <w:color w:val="000000" w:themeColor="text1"/>
                <w:sz w:val="18"/>
                <w:szCs w:val="18"/>
                <w:highlight w:val="none"/>
                <w14:textFill>
                  <w14:solidFill>
                    <w14:schemeClr w14:val="tx1"/>
                  </w14:solidFill>
                </w14:textFill>
              </w:rPr>
              <w:t>0.001</w:t>
            </w:r>
          </w:p>
        </w:tc>
        <w:tc>
          <w:tcPr>
            <w:tcW w:w="1300" w:type="dxa"/>
            <w:noWrap/>
          </w:tcPr>
          <w:p w14:paraId="0C6266DF">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w:t>
            </w:r>
            <w:r>
              <w:rPr>
                <w:rFonts w:hint="eastAsia" w:cs="Times New Roman"/>
                <w:color w:val="000000" w:themeColor="text1"/>
                <w:sz w:val="18"/>
                <w:szCs w:val="18"/>
                <w:highlight w:val="none"/>
                <w14:textFill>
                  <w14:solidFill>
                    <w14:schemeClr w14:val="tx1"/>
                  </w14:solidFill>
                </w14:textFill>
              </w:rPr>
              <w:t>＜</w:t>
            </w:r>
            <w:r>
              <w:rPr>
                <w:rFonts w:ascii="Times New Roman" w:hAnsi="Times New Roman" w:eastAsia="等线" w:cs="Times New Roman"/>
                <w:color w:val="000000" w:themeColor="text1"/>
                <w:sz w:val="18"/>
                <w:szCs w:val="18"/>
                <w:highlight w:val="none"/>
                <w14:textFill>
                  <w14:solidFill>
                    <w14:schemeClr w14:val="tx1"/>
                  </w14:solidFill>
                </w14:textFill>
              </w:rPr>
              <w:t>0.001</w:t>
            </w:r>
          </w:p>
        </w:tc>
        <w:tc>
          <w:tcPr>
            <w:tcW w:w="1300" w:type="dxa"/>
            <w:noWrap/>
          </w:tcPr>
          <w:p w14:paraId="76DCB5FA">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P=0.08</w:t>
            </w:r>
          </w:p>
        </w:tc>
        <w:tc>
          <w:tcPr>
            <w:tcW w:w="1300" w:type="dxa"/>
            <w:noWrap/>
          </w:tcPr>
          <w:p w14:paraId="55E82FD8">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p=0.07</w:t>
            </w:r>
          </w:p>
        </w:tc>
        <w:tc>
          <w:tcPr>
            <w:tcW w:w="1300" w:type="dxa"/>
            <w:noWrap/>
          </w:tcPr>
          <w:p w14:paraId="44939D39">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w:t>
            </w:r>
            <w:r>
              <w:rPr>
                <w:rFonts w:hint="eastAsia" w:cs="Times New Roman"/>
                <w:color w:val="000000" w:themeColor="text1"/>
                <w:sz w:val="18"/>
                <w:szCs w:val="18"/>
                <w:highlight w:val="none"/>
                <w14:textFill>
                  <w14:solidFill>
                    <w14:schemeClr w14:val="tx1"/>
                  </w14:solidFill>
                </w14:textFill>
              </w:rPr>
              <w:t>＜</w:t>
            </w:r>
            <w:r>
              <w:rPr>
                <w:rFonts w:ascii="Times New Roman" w:hAnsi="Times New Roman" w:eastAsia="等线" w:cs="Times New Roman"/>
                <w:color w:val="000000" w:themeColor="text1"/>
                <w:sz w:val="18"/>
                <w:szCs w:val="18"/>
                <w:highlight w:val="none"/>
                <w14:textFill>
                  <w14:solidFill>
                    <w14:schemeClr w14:val="tx1"/>
                  </w14:solidFill>
                </w14:textFill>
              </w:rPr>
              <w:t>0.001</w:t>
            </w:r>
          </w:p>
        </w:tc>
        <w:tc>
          <w:tcPr>
            <w:tcW w:w="1300" w:type="dxa"/>
            <w:noWrap/>
          </w:tcPr>
          <w:p w14:paraId="613268C2">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w:t>
            </w:r>
            <w:r>
              <w:rPr>
                <w:rFonts w:hint="eastAsia" w:cs="Times New Roman"/>
                <w:color w:val="000000" w:themeColor="text1"/>
                <w:sz w:val="18"/>
                <w:szCs w:val="18"/>
                <w:highlight w:val="none"/>
                <w14:textFill>
                  <w14:solidFill>
                    <w14:schemeClr w14:val="tx1"/>
                  </w14:solidFill>
                </w14:textFill>
              </w:rPr>
              <w:t>＜</w:t>
            </w:r>
            <w:r>
              <w:rPr>
                <w:rFonts w:ascii="Times New Roman" w:hAnsi="Times New Roman" w:eastAsia="等线" w:cs="Times New Roman"/>
                <w:color w:val="000000" w:themeColor="text1"/>
                <w:sz w:val="18"/>
                <w:szCs w:val="18"/>
                <w:highlight w:val="none"/>
                <w14:textFill>
                  <w14:solidFill>
                    <w14:schemeClr w14:val="tx1"/>
                  </w14:solidFill>
                </w14:textFill>
              </w:rPr>
              <w:t>0.001</w:t>
            </w:r>
          </w:p>
        </w:tc>
        <w:tc>
          <w:tcPr>
            <w:tcW w:w="1300" w:type="dxa"/>
            <w:noWrap/>
          </w:tcPr>
          <w:p w14:paraId="65B6AB1A">
            <w:pPr>
              <w:jc w:val="center"/>
              <w:rPr>
                <w:rFonts w:ascii="Times New Roman" w:hAnsi="Times New Roman" w:eastAsia="等线" w:cs="Times New Roman"/>
                <w:color w:val="000000" w:themeColor="text1"/>
                <w:sz w:val="18"/>
                <w:szCs w:val="18"/>
                <w:highlight w:val="none"/>
                <w14:textFill>
                  <w14:solidFill>
                    <w14:schemeClr w14:val="tx1"/>
                  </w14:solidFill>
                </w14:textFill>
              </w:rPr>
            </w:pPr>
            <w:r>
              <w:rPr>
                <w:rFonts w:ascii="Times New Roman" w:hAnsi="Times New Roman" w:eastAsia="等线" w:cs="Times New Roman"/>
                <w:color w:val="000000" w:themeColor="text1"/>
                <w:sz w:val="18"/>
                <w:szCs w:val="18"/>
                <w:highlight w:val="none"/>
                <w14:textFill>
                  <w14:solidFill>
                    <w14:schemeClr w14:val="tx1"/>
                  </w14:solidFill>
                </w14:textFill>
              </w:rPr>
              <w:t>p=0.01</w:t>
            </w:r>
          </w:p>
        </w:tc>
      </w:tr>
    </w:tbl>
    <w:p w14:paraId="5AA77223">
      <w:pPr>
        <w:spacing w:line="360" w:lineRule="auto"/>
        <w:rPr>
          <w:rFonts w:ascii="Times New Roman" w:hAnsi="Times New Roman" w:eastAsia="宋体" w:cs="Times New Roman"/>
          <w:color w:val="000000" w:themeColor="text1"/>
          <w:kern w:val="0"/>
          <w:sz w:val="24"/>
          <w:highlight w:val="none"/>
          <w14:textFill>
            <w14:solidFill>
              <w14:schemeClr w14:val="tx1"/>
            </w14:solidFill>
          </w14:textFill>
        </w:rPr>
        <w:sectPr>
          <w:pgSz w:w="15840" w:h="12240" w:orient="landscape"/>
          <w:pgMar w:top="1440" w:right="1440" w:bottom="1440" w:left="1440" w:header="0" w:footer="0" w:gutter="0"/>
          <w:pgBorders>
            <w:top w:val="none" w:sz="0" w:space="0"/>
            <w:left w:val="none" w:sz="0" w:space="0"/>
            <w:bottom w:val="none" w:sz="0" w:space="0"/>
            <w:right w:val="none" w:sz="0" w:space="0"/>
          </w:pgBorders>
          <w:cols w:space="720" w:num="1"/>
        </w:sectPr>
      </w:pPr>
      <w:r>
        <w:rPr>
          <w:rFonts w:hint="eastAsia" w:ascii="Times New Roman" w:hAnsi="Times New Roman" w:eastAsia="宋体" w:cs="Times New Roman"/>
          <w:color w:val="000000" w:themeColor="text1"/>
          <w:kern w:val="0"/>
          <w:sz w:val="24"/>
          <w:highlight w:val="none"/>
          <w14:textFill>
            <w14:solidFill>
              <w14:schemeClr w14:val="tx1"/>
            </w14:solidFill>
          </w14:textFill>
        </w:rPr>
        <w:t xml:space="preserve">                                                                                                      </w:t>
      </w:r>
    </w:p>
    <w:p w14:paraId="66F7F183">
      <w:pPr>
        <w:numPr>
          <w:ilvl w:val="0"/>
          <w:numId w:val="0"/>
        </w:numPr>
        <w:spacing w:line="360" w:lineRule="auto"/>
        <w:rPr>
          <w:rFonts w:hint="eastAsia" w:ascii="Times New Roman" w:hAnsi="Times New Roman" w:eastAsia="宋体" w:cs="Times New Roman"/>
          <w:color w:val="000000" w:themeColor="text1"/>
          <w:kern w:val="0"/>
          <w:sz w:val="28"/>
          <w:szCs w:val="28"/>
          <w:highlight w:val="none"/>
          <w14:textFill>
            <w14:solidFill>
              <w14:schemeClr w14:val="tx1"/>
            </w14:solidFill>
          </w14:textFill>
        </w:rPr>
      </w:pPr>
      <w:r>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t>六、重大意见分歧的处理依据和结果</w:t>
      </w:r>
    </w:p>
    <w:p w14:paraId="656C6FAF">
      <w:pPr>
        <w:spacing w:line="360" w:lineRule="auto"/>
        <w:ind w:firstLine="480" w:firstLineChars="200"/>
        <w:rPr>
          <w:rFonts w:hint="eastAsia" w:ascii="Times New Roman" w:hAnsi="Times New Roman" w:eastAsia="宋体" w:cs="Times New Roman"/>
          <w:color w:val="000000" w:themeColor="text1"/>
          <w:sz w:val="24"/>
          <w:highlight w:val="none"/>
          <w14:textFill>
            <w14:solidFill>
              <w14:schemeClr w14:val="tx1"/>
            </w14:solidFill>
          </w14:textFill>
        </w:rPr>
      </w:pPr>
      <w:r>
        <w:rPr>
          <w:rFonts w:hint="eastAsia" w:ascii="Times New Roman" w:hAnsi="Times New Roman" w:eastAsia="宋体" w:cs="Times New Roman"/>
          <w:color w:val="000000" w:themeColor="text1"/>
          <w:sz w:val="24"/>
          <w:highlight w:val="none"/>
          <w14:textFill>
            <w14:solidFill>
              <w14:schemeClr w14:val="tx1"/>
            </w14:solidFill>
          </w14:textFill>
        </w:rPr>
        <w:t>本标准制定过程中</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无</w:t>
      </w:r>
      <w:r>
        <w:rPr>
          <w:rFonts w:hint="eastAsia" w:ascii="Times New Roman" w:hAnsi="Times New Roman" w:eastAsia="宋体" w:cs="Times New Roman"/>
          <w:color w:val="000000" w:themeColor="text1"/>
          <w:sz w:val="24"/>
          <w:highlight w:val="none"/>
          <w14:textFill>
            <w14:solidFill>
              <w14:schemeClr w14:val="tx1"/>
            </w14:solidFill>
          </w14:textFill>
        </w:rPr>
        <w:t>重大分歧意见</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highlight w:val="none"/>
          <w14:textFill>
            <w14:solidFill>
              <w14:schemeClr w14:val="tx1"/>
            </w14:solidFill>
          </w14:textFill>
        </w:rPr>
        <w:t xml:space="preserve">   </w:t>
      </w:r>
    </w:p>
    <w:p w14:paraId="1DDDB4D6">
      <w:pPr>
        <w:numPr>
          <w:ilvl w:val="0"/>
          <w:numId w:val="0"/>
        </w:numPr>
        <w:spacing w:line="360" w:lineRule="auto"/>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pPr>
      <w:r>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t>七、实施标准的措施建议</w:t>
      </w:r>
    </w:p>
    <w:p w14:paraId="1E039C33">
      <w:pPr>
        <w:spacing w:line="360" w:lineRule="auto"/>
        <w:ind w:firstLine="480" w:firstLineChars="200"/>
        <w:rPr>
          <w:rFonts w:ascii="Times New Roman" w:hAnsi="Times New Roman" w:eastAsia="宋体" w:cs="Times New Roman"/>
          <w:color w:val="000000" w:themeColor="text1"/>
          <w:sz w:val="24"/>
          <w:highlight w:val="none"/>
          <w14:textFill>
            <w14:solidFill>
              <w14:schemeClr w14:val="tx1"/>
            </w14:solidFill>
          </w14:textFill>
        </w:rPr>
      </w:pPr>
      <w:r>
        <w:rPr>
          <w:rFonts w:hint="eastAsia" w:ascii="Times New Roman" w:hAnsi="Times New Roman" w:eastAsia="宋体" w:cs="Times New Roman"/>
          <w:color w:val="000000" w:themeColor="text1"/>
          <w:sz w:val="24"/>
          <w:highlight w:val="none"/>
          <w14:textFill>
            <w14:solidFill>
              <w14:schemeClr w14:val="tx1"/>
            </w14:solidFill>
          </w14:textFill>
        </w:rPr>
        <w:t>建议相关部门以地区主推技术落实推广。</w:t>
      </w:r>
    </w:p>
    <w:p w14:paraId="06444461">
      <w:pPr>
        <w:numPr>
          <w:ilvl w:val="0"/>
          <w:numId w:val="0"/>
        </w:numPr>
        <w:spacing w:line="360" w:lineRule="auto"/>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pPr>
      <w:r>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t>八、标准涉及的相关知识产权说明</w:t>
      </w:r>
    </w:p>
    <w:p w14:paraId="542C2EDA">
      <w:pPr>
        <w:spacing w:line="360" w:lineRule="auto"/>
        <w:ind w:firstLine="480" w:firstLineChars="200"/>
        <w:rPr>
          <w:rFonts w:ascii="Times New Roman" w:hAnsi="Times New Roman" w:eastAsia="宋体" w:cs="Times New Roman"/>
          <w:color w:val="000000" w:themeColor="text1"/>
          <w:sz w:val="24"/>
          <w:highlight w:val="none"/>
          <w14:textFill>
            <w14:solidFill>
              <w14:schemeClr w14:val="tx1"/>
            </w14:solidFill>
          </w14:textFill>
        </w:rPr>
      </w:pPr>
      <w:r>
        <w:rPr>
          <w:rFonts w:ascii="Times New Roman" w:hAnsi="Times New Roman" w:eastAsia="宋体" w:cs="Times New Roman"/>
          <w:color w:val="000000" w:themeColor="text1"/>
          <w:sz w:val="24"/>
          <w:highlight w:val="none"/>
          <w14:textFill>
            <w14:solidFill>
              <w14:schemeClr w14:val="tx1"/>
            </w14:solidFill>
          </w14:textFill>
        </w:rPr>
        <w:t>本文件的核心技术和知识产权不涉及主持单位与参加单位的专利，与国内外专利无关。</w:t>
      </w:r>
    </w:p>
    <w:p w14:paraId="39C3CE87">
      <w:pPr>
        <w:numPr>
          <w:ilvl w:val="0"/>
          <w:numId w:val="0"/>
        </w:numPr>
        <w:spacing w:line="360" w:lineRule="auto"/>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pPr>
      <w:r>
        <w:rPr>
          <w:rFonts w:hint="eastAsia" w:ascii="Times New Roman" w:hAnsi="Times New Roman" w:eastAsia="宋体" w:cs="Times New Roman"/>
          <w:b/>
          <w:color w:val="000000" w:themeColor="text1"/>
          <w:kern w:val="2"/>
          <w:sz w:val="28"/>
          <w:szCs w:val="28"/>
          <w:highlight w:val="none"/>
          <w:lang w:val="en-US" w:eastAsia="zh-CN" w:bidi="ar-SA"/>
          <w14:textFill>
            <w14:solidFill>
              <w14:schemeClr w14:val="tx1"/>
            </w14:solidFill>
          </w14:textFill>
        </w:rPr>
        <w:t>九、其他应予说明的事项</w:t>
      </w:r>
    </w:p>
    <w:p w14:paraId="3727CBA3">
      <w:pPr>
        <w:spacing w:line="360" w:lineRule="auto"/>
        <w:rPr>
          <w:rFonts w:hint="eastAsia" w:ascii="Times New Roman" w:hAnsi="Times New Roman" w:eastAsia="宋体" w:cs="Times New Roman"/>
          <w:b/>
          <w:bCs/>
          <w:color w:val="000000" w:themeColor="text1"/>
          <w:sz w:val="24"/>
          <w:highlight w:val="none"/>
          <w:lang w:eastAsia="zh-CN"/>
          <w14:textFill>
            <w14:solidFill>
              <w14:schemeClr w14:val="tx1"/>
            </w14:solidFill>
          </w14:textFill>
        </w:rPr>
      </w:pPr>
      <w:r>
        <w:rPr>
          <w:rFonts w:ascii="Times New Roman" w:hAnsi="Times New Roman" w:eastAsia="宋体" w:cs="Times New Roman"/>
          <w:b/>
          <w:bCs/>
          <w:color w:val="000000" w:themeColor="text1"/>
          <w:sz w:val="24"/>
          <w:highlight w:val="none"/>
          <w14:textFill>
            <w14:solidFill>
              <w14:schemeClr w14:val="tx1"/>
            </w14:solidFill>
          </w14:textFill>
        </w:rPr>
        <w:t xml:space="preserve">    </w:t>
      </w:r>
      <w:r>
        <w:rPr>
          <w:rFonts w:hint="eastAsia" w:ascii="Times New Roman" w:hAnsi="Times New Roman" w:eastAsia="宋体" w:cs="Times New Roman"/>
          <w:b/>
          <w:bCs/>
          <w:color w:val="000000" w:themeColor="text1"/>
          <w:sz w:val="24"/>
          <w:highlight w:val="none"/>
          <w:lang w:val="en-US" w:eastAsia="zh-CN"/>
          <w14:textFill>
            <w14:solidFill>
              <w14:schemeClr w14:val="tx1"/>
            </w14:solidFill>
          </w14:textFill>
        </w:rPr>
        <w:t xml:space="preserve"> </w:t>
      </w:r>
      <w:r>
        <w:rPr>
          <w:rFonts w:ascii="Times New Roman" w:hAnsi="Times New Roman" w:eastAsia="宋体" w:cs="Times New Roman"/>
          <w:color w:val="000000" w:themeColor="text1"/>
          <w:sz w:val="24"/>
          <w:highlight w:val="none"/>
          <w14:textFill>
            <w14:solidFill>
              <w14:schemeClr w14:val="tx1"/>
            </w14:solidFill>
          </w14:textFill>
        </w:rPr>
        <w:t>无</w:t>
      </w:r>
      <w:r>
        <w:rPr>
          <w:rFonts w:hint="eastAsia" w:ascii="Times New Roman" w:hAnsi="Times New Roman" w:eastAsia="宋体" w:cs="Times New Roman"/>
          <w:color w:val="000000" w:themeColor="text1"/>
          <w:sz w:val="24"/>
          <w:highlight w:val="none"/>
          <w:lang w:eastAsia="zh-CN"/>
          <w14:textFill>
            <w14:solidFill>
              <w14:schemeClr w14:val="tx1"/>
            </w14:solidFill>
          </w14:textFill>
        </w:rPr>
        <w:t>。</w:t>
      </w:r>
    </w:p>
    <w:p w14:paraId="1F53C1B4">
      <w:pPr>
        <w:pStyle w:val="18"/>
        <w:spacing w:line="360" w:lineRule="auto"/>
        <w:ind w:firstLine="960" w:firstLineChars="400"/>
        <w:rPr>
          <w:rFonts w:ascii="Times New Roman" w:hAnsi="Times New Roman" w:eastAsia="宋体" w:cs="Times New Roman"/>
          <w:color w:val="000000" w:themeColor="text1"/>
          <w:kern w:val="0"/>
          <w:sz w:val="24"/>
          <w:highlight w:val="none"/>
          <w14:textFill>
            <w14:solidFill>
              <w14:schemeClr w14:val="tx1"/>
            </w14:solidFill>
          </w14:textFill>
        </w:rPr>
      </w:pPr>
    </w:p>
    <w:p w14:paraId="2EA14E79">
      <w:pPr>
        <w:pStyle w:val="18"/>
        <w:ind w:left="6586" w:leftChars="2622" w:hanging="1080" w:hangingChars="450"/>
        <w:rPr>
          <w:rFonts w:ascii="Times New Roman" w:hAnsi="Times New Roman" w:eastAsia="宋体" w:cs="Times New Roman"/>
          <w:b w:val="0"/>
          <w:bCs/>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kern w:val="0"/>
          <w:sz w:val="24"/>
          <w:highlight w:val="none"/>
          <w14:textFill>
            <w14:solidFill>
              <w14:schemeClr w14:val="tx1"/>
            </w14:solidFill>
          </w14:textFill>
        </w:rPr>
        <w:t xml:space="preserve">                                                </w:t>
      </w:r>
      <w:r>
        <w:rPr>
          <w:rFonts w:ascii="Times New Roman" w:hAnsi="Times New Roman" w:eastAsia="宋体" w:cs="Times New Roman"/>
          <w:b w:val="0"/>
          <w:bCs/>
          <w:color w:val="000000" w:themeColor="text1"/>
          <w:sz w:val="24"/>
          <w:szCs w:val="24"/>
          <w:highlight w:val="none"/>
          <w14:textFill>
            <w14:solidFill>
              <w14:schemeClr w14:val="tx1"/>
            </w14:solidFill>
          </w14:textFill>
        </w:rPr>
        <w:t>标准起草工作组</w:t>
      </w:r>
    </w:p>
    <w:p w14:paraId="485694F4">
      <w:pPr>
        <w:pStyle w:val="18"/>
        <w:ind w:firstLine="6600" w:firstLineChars="2750"/>
        <w:rPr>
          <w:rFonts w:ascii="Times New Roman" w:hAnsi="Times New Roman" w:eastAsia="宋体" w:cs="Times New Roman"/>
          <w:b w:val="0"/>
          <w:bCs/>
          <w:color w:val="000000" w:themeColor="text1"/>
          <w:sz w:val="24"/>
          <w:szCs w:val="24"/>
          <w:highlight w:val="none"/>
          <w14:textFill>
            <w14:solidFill>
              <w14:schemeClr w14:val="tx1"/>
            </w14:solidFill>
          </w14:textFill>
        </w:rPr>
      </w:pPr>
      <w:r>
        <w:rPr>
          <w:rFonts w:ascii="Times New Roman" w:hAnsi="Times New Roman" w:eastAsia="宋体" w:cs="Times New Roman"/>
          <w:b w:val="0"/>
          <w:bCs/>
          <w:color w:val="000000" w:themeColor="text1"/>
          <w:sz w:val="24"/>
          <w:szCs w:val="24"/>
          <w:highlight w:val="none"/>
          <w14:textFill>
            <w14:solidFill>
              <w14:schemeClr w14:val="tx1"/>
            </w14:solidFill>
          </w14:textFill>
        </w:rPr>
        <w:t>202</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6</w:t>
      </w:r>
      <w:r>
        <w:rPr>
          <w:rFonts w:ascii="Times New Roman" w:hAnsi="Times New Roman" w:eastAsia="宋体" w:cs="Times New Roman"/>
          <w:b w:val="0"/>
          <w:bCs/>
          <w:color w:val="000000" w:themeColor="text1"/>
          <w:sz w:val="24"/>
          <w:szCs w:val="24"/>
          <w:highlight w:val="none"/>
          <w14:textFill>
            <w14:solidFill>
              <w14:schemeClr w14:val="tx1"/>
            </w14:solidFill>
          </w14:textFill>
        </w:rPr>
        <w:t>年</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1</w:t>
      </w:r>
      <w:r>
        <w:rPr>
          <w:rFonts w:ascii="Times New Roman" w:hAnsi="Times New Roman" w:eastAsia="宋体" w:cs="Times New Roman"/>
          <w:b w:val="0"/>
          <w:bCs/>
          <w:color w:val="000000" w:themeColor="text1"/>
          <w:sz w:val="24"/>
          <w:szCs w:val="24"/>
          <w:highlight w:val="none"/>
          <w14:textFill>
            <w14:solidFill>
              <w14:schemeClr w14:val="tx1"/>
            </w14:solidFill>
          </w14:textFill>
        </w:rPr>
        <w:t>月</w:t>
      </w:r>
      <w:r>
        <w:rPr>
          <w:rFonts w:hint="eastAsia" w:ascii="Times New Roman" w:hAnsi="Times New Roman" w:eastAsia="宋体" w:cs="Times New Roman"/>
          <w:b w:val="0"/>
          <w:bCs/>
          <w:color w:val="000000" w:themeColor="text1"/>
          <w:sz w:val="24"/>
          <w:szCs w:val="24"/>
          <w:highlight w:val="none"/>
          <w14:textFill>
            <w14:solidFill>
              <w14:schemeClr w14:val="tx1"/>
            </w14:solidFill>
          </w14:textFill>
        </w:rPr>
        <w:t>1</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4</w:t>
      </w:r>
      <w:r>
        <w:rPr>
          <w:rFonts w:ascii="Times New Roman" w:hAnsi="Times New Roman" w:eastAsia="宋体" w:cs="Times New Roman"/>
          <w:b w:val="0"/>
          <w:bCs/>
          <w:color w:val="000000" w:themeColor="text1"/>
          <w:sz w:val="24"/>
          <w:szCs w:val="24"/>
          <w:highlight w:val="none"/>
          <w14:textFill>
            <w14:solidFill>
              <w14:schemeClr w14:val="tx1"/>
            </w14:solidFill>
          </w14:textFill>
        </w:rPr>
        <w:t>日</w:t>
      </w:r>
    </w:p>
    <w:p w14:paraId="5B6339E6">
      <w:pPr>
        <w:pStyle w:val="18"/>
        <w:spacing w:line="360" w:lineRule="auto"/>
        <w:ind w:firstLine="960" w:firstLineChars="400"/>
        <w:rPr>
          <w:rFonts w:ascii="Times New Roman" w:hAnsi="Times New Roman" w:eastAsia="宋体" w:cs="Times New Roman"/>
          <w:color w:val="000000" w:themeColor="text1"/>
          <w:kern w:val="0"/>
          <w:sz w:val="24"/>
          <w:highlight w:val="none"/>
          <w14:textFill>
            <w14:solidFill>
              <w14:schemeClr w14:val="tx1"/>
            </w14:solidFill>
          </w14:textFill>
        </w:rPr>
      </w:pPr>
    </w:p>
    <w:p w14:paraId="1FFCA244">
      <w:pPr>
        <w:rPr>
          <w:color w:val="000000" w:themeColor="text1"/>
          <w:highlight w:val="none"/>
          <w14:textFill>
            <w14:solidFill>
              <w14:schemeClr w14:val="tx1"/>
            </w14:solidFill>
          </w14:textFill>
        </w:rPr>
      </w:pPr>
    </w:p>
    <w:p w14:paraId="335728AB">
      <w:pPr>
        <w:rPr>
          <w:color w:val="000000" w:themeColor="text1"/>
          <w:highlight w:val="none"/>
          <w14:textFill>
            <w14:solidFill>
              <w14:schemeClr w14:val="tx1"/>
            </w14:solidFill>
          </w14:textFill>
        </w:rPr>
      </w:pPr>
    </w:p>
    <w:sectPr>
      <w:pgSz w:w="12240" w:h="15840"/>
      <w:pgMar w:top="1440" w:right="1440" w:bottom="1440" w:left="1440" w:header="0" w:footer="0" w:gutter="0"/>
      <w:pgBorders>
        <w:top w:val="none" w:sz="0" w:space="0"/>
        <w:left w:val="none" w:sz="0" w:space="0"/>
        <w:bottom w:val="none" w:sz="0" w:space="0"/>
        <w:right w:val="none" w:sz="0" w:space="0"/>
      </w:pgBorders>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default"/>
    <w:sig w:usb0="E4002EFF" w:usb1="C200247B" w:usb2="00000009" w:usb3="00000000" w:csb0="200001F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方正小标宋简体">
    <w:panose1 w:val="02000000000000000000"/>
    <w:charset w:val="86"/>
    <w:family w:val="auto"/>
    <w:pitch w:val="default"/>
    <w:sig w:usb0="00000001" w:usb1="08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方正小标宋_GBK">
    <w:altName w:val="微软雅黑"/>
    <w:panose1 w:val="00000000000000000000"/>
    <w:charset w:val="86"/>
    <w:family w:val="auto"/>
    <w:pitch w:val="default"/>
    <w:sig w:usb0="00000000" w:usb1="00000000" w:usb2="00000000" w:usb3="00000000" w:csb0="00040000" w:csb1="00000000"/>
  </w:font>
  <w:font w:name="仿宋_GB2312">
    <w:altName w:val="仿宋"/>
    <w:panose1 w:val="00000000000000000000"/>
    <w:charset w:val="86"/>
    <w:family w:val="auto"/>
    <w:pitch w:val="default"/>
    <w:sig w:usb0="00000000" w:usb1="0000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FD0B4">
    <w:pPr>
      <w:pStyle w:val="17"/>
      <w:rPr>
        <w:rFonts w:hint="eastAsia"/>
      </w:rPr>
    </w:pPr>
    <w:r>
      <w:fldChar w:fldCharType="begin"/>
    </w:r>
    <w:r>
      <w:instrText xml:space="preserve">PAGE   \* MERGEFORMAT</w:instrText>
    </w:r>
    <w:r>
      <w:fldChar w:fldCharType="separate"/>
    </w:r>
    <w:r>
      <w:rPr>
        <w:lang w:val="zh-CN"/>
      </w:rPr>
      <w:t>1</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087BE1">
    <w:pPr>
      <w:pBdr>
        <w:bottom w:val="none" w:color="auto" w:sz="0" w:space="1"/>
      </w:pBdr>
      <w:spacing w:line="240" w:lineRule="atLeast"/>
      <w:ind w:left="4440" w:right="120" w:hanging="4440" w:hangingChars="1850"/>
      <w:jc w:val="left"/>
      <w:rPr>
        <w:rFonts w:hint="eastAsia" w:ascii="@方正小标宋简体" w:hAnsi="@方正小标宋简体" w:eastAsia="@方正小标宋简体" w:cs="@方正小标宋简体"/>
        <w:sz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B8428BD"/>
    <w:multiLevelType w:val="singleLevel"/>
    <w:tmpl w:val="FB8428BD"/>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lkMWRjMGJiZTQxYTFiNDNiOGFiMjgwYmQ5MGI4NDEifQ=="/>
  </w:docVars>
  <w:rsids>
    <w:rsidRoot w:val="007F6A32"/>
    <w:rsid w:val="0003653D"/>
    <w:rsid w:val="000442EB"/>
    <w:rsid w:val="00144663"/>
    <w:rsid w:val="00185758"/>
    <w:rsid w:val="002411E0"/>
    <w:rsid w:val="00291A0C"/>
    <w:rsid w:val="0032172E"/>
    <w:rsid w:val="003778C8"/>
    <w:rsid w:val="004536B2"/>
    <w:rsid w:val="004A6E01"/>
    <w:rsid w:val="004C487C"/>
    <w:rsid w:val="005203E3"/>
    <w:rsid w:val="00557A6A"/>
    <w:rsid w:val="005F0D63"/>
    <w:rsid w:val="00604145"/>
    <w:rsid w:val="00680E95"/>
    <w:rsid w:val="00734555"/>
    <w:rsid w:val="007F6A32"/>
    <w:rsid w:val="008A704C"/>
    <w:rsid w:val="009414F8"/>
    <w:rsid w:val="00B44130"/>
    <w:rsid w:val="00C1028F"/>
    <w:rsid w:val="00D51428"/>
    <w:rsid w:val="00D76C62"/>
    <w:rsid w:val="00DA40A3"/>
    <w:rsid w:val="00E46408"/>
    <w:rsid w:val="00EB2F1B"/>
    <w:rsid w:val="00FE3542"/>
    <w:rsid w:val="00FE3A73"/>
    <w:rsid w:val="014F4893"/>
    <w:rsid w:val="01543720"/>
    <w:rsid w:val="01EF572E"/>
    <w:rsid w:val="031B62D7"/>
    <w:rsid w:val="0368705F"/>
    <w:rsid w:val="04327C39"/>
    <w:rsid w:val="052068B7"/>
    <w:rsid w:val="052E509C"/>
    <w:rsid w:val="05357A3D"/>
    <w:rsid w:val="061120B1"/>
    <w:rsid w:val="07B973B9"/>
    <w:rsid w:val="08191757"/>
    <w:rsid w:val="09F45376"/>
    <w:rsid w:val="0A2B5950"/>
    <w:rsid w:val="0A544D53"/>
    <w:rsid w:val="0B372620"/>
    <w:rsid w:val="0B486F45"/>
    <w:rsid w:val="0B8C0F34"/>
    <w:rsid w:val="0BF11FD8"/>
    <w:rsid w:val="0C2C7223"/>
    <w:rsid w:val="0CC6266C"/>
    <w:rsid w:val="0D341F4E"/>
    <w:rsid w:val="0EB362CF"/>
    <w:rsid w:val="11333889"/>
    <w:rsid w:val="127E3C6B"/>
    <w:rsid w:val="12A52565"/>
    <w:rsid w:val="12A5779E"/>
    <w:rsid w:val="12EA74F5"/>
    <w:rsid w:val="13023545"/>
    <w:rsid w:val="1312127D"/>
    <w:rsid w:val="13165211"/>
    <w:rsid w:val="13485933"/>
    <w:rsid w:val="134D0507"/>
    <w:rsid w:val="14686345"/>
    <w:rsid w:val="14696749"/>
    <w:rsid w:val="1492545C"/>
    <w:rsid w:val="14EE078E"/>
    <w:rsid w:val="15274FE5"/>
    <w:rsid w:val="153674A4"/>
    <w:rsid w:val="15916D3F"/>
    <w:rsid w:val="15C627A8"/>
    <w:rsid w:val="163E27C9"/>
    <w:rsid w:val="16B854A0"/>
    <w:rsid w:val="16F97B31"/>
    <w:rsid w:val="173C68E0"/>
    <w:rsid w:val="18163A13"/>
    <w:rsid w:val="195224BC"/>
    <w:rsid w:val="19F96B6F"/>
    <w:rsid w:val="1A9A12B1"/>
    <w:rsid w:val="1B860A5A"/>
    <w:rsid w:val="1BBE3411"/>
    <w:rsid w:val="1BD61FC1"/>
    <w:rsid w:val="1BE0016A"/>
    <w:rsid w:val="1BF971AF"/>
    <w:rsid w:val="1CF540E9"/>
    <w:rsid w:val="1D4365F7"/>
    <w:rsid w:val="1D8D0248"/>
    <w:rsid w:val="1DEF20BD"/>
    <w:rsid w:val="1E195233"/>
    <w:rsid w:val="1E436535"/>
    <w:rsid w:val="1EB605C7"/>
    <w:rsid w:val="1ED54ABC"/>
    <w:rsid w:val="1EDF6DFF"/>
    <w:rsid w:val="1F2352E0"/>
    <w:rsid w:val="1FF93EF0"/>
    <w:rsid w:val="203C7E38"/>
    <w:rsid w:val="21015035"/>
    <w:rsid w:val="2142517A"/>
    <w:rsid w:val="21BF4CC5"/>
    <w:rsid w:val="22737F8A"/>
    <w:rsid w:val="228F3469"/>
    <w:rsid w:val="230E380E"/>
    <w:rsid w:val="242156F9"/>
    <w:rsid w:val="2449367A"/>
    <w:rsid w:val="254A0D4A"/>
    <w:rsid w:val="25DC76DB"/>
    <w:rsid w:val="263E440B"/>
    <w:rsid w:val="26C720BD"/>
    <w:rsid w:val="26E35A21"/>
    <w:rsid w:val="2793633B"/>
    <w:rsid w:val="297D349C"/>
    <w:rsid w:val="29A30A29"/>
    <w:rsid w:val="29FD0E8B"/>
    <w:rsid w:val="2A6F54DA"/>
    <w:rsid w:val="2AE977FD"/>
    <w:rsid w:val="2B0D1D89"/>
    <w:rsid w:val="2B683CD8"/>
    <w:rsid w:val="2BB534A9"/>
    <w:rsid w:val="2C5D5766"/>
    <w:rsid w:val="2C890504"/>
    <w:rsid w:val="2CAE1BBE"/>
    <w:rsid w:val="2CFF62E7"/>
    <w:rsid w:val="2DDD6011"/>
    <w:rsid w:val="2DFB50FD"/>
    <w:rsid w:val="2E913546"/>
    <w:rsid w:val="2EA55F06"/>
    <w:rsid w:val="2F503457"/>
    <w:rsid w:val="2FA17744"/>
    <w:rsid w:val="2FEA115F"/>
    <w:rsid w:val="3120729C"/>
    <w:rsid w:val="31EB1ACC"/>
    <w:rsid w:val="322F0A33"/>
    <w:rsid w:val="32567369"/>
    <w:rsid w:val="32DB5A88"/>
    <w:rsid w:val="32DD4FAB"/>
    <w:rsid w:val="32F20285"/>
    <w:rsid w:val="33477C9C"/>
    <w:rsid w:val="33D40484"/>
    <w:rsid w:val="34052FBB"/>
    <w:rsid w:val="358D4A67"/>
    <w:rsid w:val="363C76C3"/>
    <w:rsid w:val="368B4529"/>
    <w:rsid w:val="3732412D"/>
    <w:rsid w:val="378679C0"/>
    <w:rsid w:val="38553256"/>
    <w:rsid w:val="386E07E1"/>
    <w:rsid w:val="38B13C0A"/>
    <w:rsid w:val="38F91A66"/>
    <w:rsid w:val="39B716F4"/>
    <w:rsid w:val="39CE38A0"/>
    <w:rsid w:val="39FB2994"/>
    <w:rsid w:val="3A1551F8"/>
    <w:rsid w:val="3ADB2A7D"/>
    <w:rsid w:val="3C0C3668"/>
    <w:rsid w:val="3C6429E2"/>
    <w:rsid w:val="3C7C3EB2"/>
    <w:rsid w:val="3CC66AB0"/>
    <w:rsid w:val="3DFF5064"/>
    <w:rsid w:val="3E080EFF"/>
    <w:rsid w:val="3E551137"/>
    <w:rsid w:val="3EDB1C4A"/>
    <w:rsid w:val="3EDE03E3"/>
    <w:rsid w:val="3F1345AF"/>
    <w:rsid w:val="3F2006FA"/>
    <w:rsid w:val="4094632D"/>
    <w:rsid w:val="41A05478"/>
    <w:rsid w:val="42044303"/>
    <w:rsid w:val="420460B1"/>
    <w:rsid w:val="439E1737"/>
    <w:rsid w:val="44000AFA"/>
    <w:rsid w:val="442978E8"/>
    <w:rsid w:val="445554AC"/>
    <w:rsid w:val="446B01B7"/>
    <w:rsid w:val="45421B68"/>
    <w:rsid w:val="4572383B"/>
    <w:rsid w:val="461636A9"/>
    <w:rsid w:val="46A94B97"/>
    <w:rsid w:val="4797643E"/>
    <w:rsid w:val="47CB13CF"/>
    <w:rsid w:val="484B307F"/>
    <w:rsid w:val="484F63F8"/>
    <w:rsid w:val="489D2AB4"/>
    <w:rsid w:val="491B36AC"/>
    <w:rsid w:val="492F103C"/>
    <w:rsid w:val="49415E3C"/>
    <w:rsid w:val="49791FA8"/>
    <w:rsid w:val="4983539D"/>
    <w:rsid w:val="49D361E3"/>
    <w:rsid w:val="4AA04FCD"/>
    <w:rsid w:val="4ACF1226"/>
    <w:rsid w:val="4B722008"/>
    <w:rsid w:val="4BC859FF"/>
    <w:rsid w:val="4C0D22EF"/>
    <w:rsid w:val="4C177328"/>
    <w:rsid w:val="4C5D13D7"/>
    <w:rsid w:val="4DC35C9C"/>
    <w:rsid w:val="4E074D66"/>
    <w:rsid w:val="4E092A42"/>
    <w:rsid w:val="4E823815"/>
    <w:rsid w:val="4EC23D31"/>
    <w:rsid w:val="4F124DBE"/>
    <w:rsid w:val="4F680366"/>
    <w:rsid w:val="50483F54"/>
    <w:rsid w:val="50502E09"/>
    <w:rsid w:val="506614DF"/>
    <w:rsid w:val="50A11925"/>
    <w:rsid w:val="50D80671"/>
    <w:rsid w:val="50F914A5"/>
    <w:rsid w:val="51163893"/>
    <w:rsid w:val="512F0C70"/>
    <w:rsid w:val="518974C3"/>
    <w:rsid w:val="529671F9"/>
    <w:rsid w:val="52B63F5C"/>
    <w:rsid w:val="52C82E28"/>
    <w:rsid w:val="53A24667"/>
    <w:rsid w:val="53B2722C"/>
    <w:rsid w:val="562763BA"/>
    <w:rsid w:val="56352885"/>
    <w:rsid w:val="56660C90"/>
    <w:rsid w:val="56945DA5"/>
    <w:rsid w:val="56D56AF7"/>
    <w:rsid w:val="57331751"/>
    <w:rsid w:val="57AF2B0B"/>
    <w:rsid w:val="57F3606D"/>
    <w:rsid w:val="58030761"/>
    <w:rsid w:val="58A83F1E"/>
    <w:rsid w:val="58D8399B"/>
    <w:rsid w:val="591B26C0"/>
    <w:rsid w:val="599B73AF"/>
    <w:rsid w:val="5A147E99"/>
    <w:rsid w:val="5A3F708A"/>
    <w:rsid w:val="5AF076C2"/>
    <w:rsid w:val="5BA079FB"/>
    <w:rsid w:val="5BA904C1"/>
    <w:rsid w:val="5BCF7F57"/>
    <w:rsid w:val="5BE01E75"/>
    <w:rsid w:val="5C392C8B"/>
    <w:rsid w:val="5C4C1816"/>
    <w:rsid w:val="5CCA7E92"/>
    <w:rsid w:val="5D4A0C36"/>
    <w:rsid w:val="5D7C0C6B"/>
    <w:rsid w:val="5D964551"/>
    <w:rsid w:val="5DB863B0"/>
    <w:rsid w:val="5DC44B25"/>
    <w:rsid w:val="5DE96B04"/>
    <w:rsid w:val="5ED30E8D"/>
    <w:rsid w:val="5F322057"/>
    <w:rsid w:val="5F405BC9"/>
    <w:rsid w:val="5F4F61AD"/>
    <w:rsid w:val="60885078"/>
    <w:rsid w:val="61AB6D66"/>
    <w:rsid w:val="626D33A6"/>
    <w:rsid w:val="62734FEF"/>
    <w:rsid w:val="638906B4"/>
    <w:rsid w:val="638E1826"/>
    <w:rsid w:val="63A7014A"/>
    <w:rsid w:val="63EA244F"/>
    <w:rsid w:val="64A90120"/>
    <w:rsid w:val="651A36E6"/>
    <w:rsid w:val="6534448E"/>
    <w:rsid w:val="65944076"/>
    <w:rsid w:val="65B17A4E"/>
    <w:rsid w:val="667264C2"/>
    <w:rsid w:val="67CD5444"/>
    <w:rsid w:val="68680898"/>
    <w:rsid w:val="68972598"/>
    <w:rsid w:val="697512EE"/>
    <w:rsid w:val="697B284D"/>
    <w:rsid w:val="699658D9"/>
    <w:rsid w:val="6A42336B"/>
    <w:rsid w:val="6C272818"/>
    <w:rsid w:val="6CC45F19"/>
    <w:rsid w:val="6CDC66ED"/>
    <w:rsid w:val="6D3A657B"/>
    <w:rsid w:val="6DE54739"/>
    <w:rsid w:val="6E4964BF"/>
    <w:rsid w:val="6EDB7EA4"/>
    <w:rsid w:val="6F0D3F9D"/>
    <w:rsid w:val="6F370FC4"/>
    <w:rsid w:val="6FC21DCE"/>
    <w:rsid w:val="700E19F2"/>
    <w:rsid w:val="702E686B"/>
    <w:rsid w:val="70615D84"/>
    <w:rsid w:val="70D50A94"/>
    <w:rsid w:val="70EB579D"/>
    <w:rsid w:val="71063385"/>
    <w:rsid w:val="71461992"/>
    <w:rsid w:val="71D074AE"/>
    <w:rsid w:val="71E35B87"/>
    <w:rsid w:val="71F15DA2"/>
    <w:rsid w:val="72600832"/>
    <w:rsid w:val="72E028A5"/>
    <w:rsid w:val="73DA775E"/>
    <w:rsid w:val="74312486"/>
    <w:rsid w:val="744E2328"/>
    <w:rsid w:val="75174433"/>
    <w:rsid w:val="75622026"/>
    <w:rsid w:val="756271B2"/>
    <w:rsid w:val="769767EC"/>
    <w:rsid w:val="779F3B61"/>
    <w:rsid w:val="77B91110"/>
    <w:rsid w:val="77D80CDC"/>
    <w:rsid w:val="77DC19D3"/>
    <w:rsid w:val="781F0B24"/>
    <w:rsid w:val="78711129"/>
    <w:rsid w:val="789B06A3"/>
    <w:rsid w:val="798774AB"/>
    <w:rsid w:val="7A232871"/>
    <w:rsid w:val="7A236C1B"/>
    <w:rsid w:val="7A6F5AB6"/>
    <w:rsid w:val="7AB20098"/>
    <w:rsid w:val="7B07294F"/>
    <w:rsid w:val="7B0E1773"/>
    <w:rsid w:val="7BE704E7"/>
    <w:rsid w:val="7C597858"/>
    <w:rsid w:val="7C932DC0"/>
    <w:rsid w:val="7CC84DBF"/>
    <w:rsid w:val="7D39126C"/>
    <w:rsid w:val="7E3C2153"/>
    <w:rsid w:val="7E8F371F"/>
    <w:rsid w:val="7E9B1A7D"/>
    <w:rsid w:val="7F2A644F"/>
    <w:rsid w:val="7FA71779"/>
    <w:rsid w:val="7FAE7E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spacing w:line="360" w:lineRule="auto"/>
      <w:ind w:firstLine="440" w:firstLineChars="200"/>
      <w:outlineLvl w:val="0"/>
    </w:pPr>
    <w:rPr>
      <w:rFonts w:ascii="仿宋" w:hAnsi="仿宋" w:eastAsia="黑体"/>
      <w:bCs/>
      <w:kern w:val="44"/>
      <w:sz w:val="22"/>
      <w:szCs w:val="44"/>
    </w:rPr>
  </w:style>
  <w:style w:type="paragraph" w:styleId="3">
    <w:name w:val="heading 2"/>
    <w:next w:val="1"/>
    <w:semiHidden/>
    <w:unhideWhenUsed/>
    <w:qFormat/>
    <w:uiPriority w:val="9"/>
    <w:pPr>
      <w:keepNext/>
      <w:keepLines/>
      <w:widowControl w:val="0"/>
      <w:spacing w:before="260" w:after="260" w:line="416" w:lineRule="auto"/>
      <w:jc w:val="both"/>
      <w:outlineLvl w:val="1"/>
    </w:pPr>
    <w:rPr>
      <w:rFonts w:asciiTheme="majorHAnsi" w:hAnsiTheme="majorHAnsi" w:eastAsiaTheme="majorEastAsia" w:cstheme="majorBidi"/>
      <w:b/>
      <w:bCs/>
      <w:kern w:val="2"/>
      <w:sz w:val="32"/>
      <w:szCs w:val="32"/>
      <w:lang w:val="en-US" w:eastAsia="zh-CN" w:bidi="ar-SA"/>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5">
    <w:name w:val="Default Paragraph Font"/>
    <w:semiHidden/>
    <w:unhideWhenUsed/>
    <w:qFormat/>
    <w:uiPriority w:val="1"/>
  </w:style>
  <w:style w:type="table" w:default="1" w:styleId="13">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Normal Indent"/>
    <w:unhideWhenUsed/>
    <w:qFormat/>
    <w:uiPriority w:val="99"/>
    <w:pPr>
      <w:widowControl w:val="0"/>
      <w:tabs>
        <w:tab w:val="left" w:pos="420"/>
      </w:tabs>
      <w:ind w:firstLine="420" w:firstLineChars="200"/>
      <w:jc w:val="both"/>
    </w:pPr>
    <w:rPr>
      <w:rFonts w:asciiTheme="minorHAnsi" w:hAnsiTheme="minorHAnsi" w:eastAsiaTheme="minorEastAsia" w:cstheme="minorBidi"/>
      <w:kern w:val="2"/>
      <w:sz w:val="21"/>
      <w:szCs w:val="24"/>
      <w:lang w:val="en-US" w:eastAsia="zh-CN" w:bidi="ar-SA"/>
    </w:rPr>
  </w:style>
  <w:style w:type="paragraph" w:styleId="6">
    <w:name w:val="caption"/>
    <w:basedOn w:val="1"/>
    <w:next w:val="1"/>
    <w:semiHidden/>
    <w:unhideWhenUsed/>
    <w:qFormat/>
    <w:uiPriority w:val="0"/>
    <w:rPr>
      <w:rFonts w:ascii="Arial" w:hAnsi="Arial" w:eastAsia="黑体"/>
      <w:sz w:val="20"/>
    </w:rPr>
  </w:style>
  <w:style w:type="paragraph" w:styleId="7">
    <w:name w:val="annotation text"/>
    <w:basedOn w:val="1"/>
    <w:link w:val="22"/>
    <w:qFormat/>
    <w:uiPriority w:val="0"/>
    <w:pPr>
      <w:jc w:val="left"/>
    </w:pPr>
  </w:style>
  <w:style w:type="paragraph" w:styleId="8">
    <w:name w:val="Body Text Indent"/>
    <w:basedOn w:val="1"/>
    <w:qFormat/>
    <w:uiPriority w:val="0"/>
    <w:pPr>
      <w:ind w:firstLine="640" w:firstLineChars="200"/>
    </w:pPr>
    <w:rPr>
      <w:rFonts w:ascii="Calibri" w:hAnsi="Calibri" w:eastAsia="楷体_GB2312"/>
      <w:sz w:val="32"/>
    </w:rPr>
  </w:style>
  <w:style w:type="paragraph" w:styleId="9">
    <w:name w:val="footer"/>
    <w:basedOn w:val="1"/>
    <w:link w:val="20"/>
    <w:qFormat/>
    <w:uiPriority w:val="0"/>
    <w:pPr>
      <w:tabs>
        <w:tab w:val="center" w:pos="4153"/>
        <w:tab w:val="right" w:pos="8306"/>
      </w:tabs>
      <w:snapToGrid w:val="0"/>
      <w:jc w:val="left"/>
    </w:pPr>
    <w:rPr>
      <w:sz w:val="18"/>
      <w:szCs w:val="18"/>
    </w:rPr>
  </w:style>
  <w:style w:type="paragraph" w:styleId="10">
    <w:name w:val="header"/>
    <w:basedOn w:val="1"/>
    <w:link w:val="19"/>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paragraph" w:styleId="12">
    <w:name w:val="annotation subject"/>
    <w:basedOn w:val="7"/>
    <w:next w:val="7"/>
    <w:link w:val="23"/>
    <w:qFormat/>
    <w:uiPriority w:val="0"/>
    <w:rPr>
      <w:b/>
      <w:bCs/>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annotation reference"/>
    <w:basedOn w:val="15"/>
    <w:qFormat/>
    <w:uiPriority w:val="0"/>
    <w:rPr>
      <w:sz w:val="21"/>
      <w:szCs w:val="21"/>
    </w:rPr>
  </w:style>
  <w:style w:type="paragraph" w:customStyle="1" w:styleId="17">
    <w:name w:val="标准文件_页脚奇数页"/>
    <w:qFormat/>
    <w:uiPriority w:val="0"/>
    <w:pPr>
      <w:ind w:right="227"/>
      <w:jc w:val="right"/>
    </w:pPr>
    <w:rPr>
      <w:rFonts w:ascii="宋体" w:hAnsi="@方正小标宋简体" w:eastAsia="@方正小标宋简体" w:cs="@方正小标宋简体"/>
      <w:sz w:val="18"/>
      <w:lang w:val="en-US" w:eastAsia="zh-CN" w:bidi="ar-SA"/>
    </w:rPr>
  </w:style>
  <w:style w:type="paragraph" w:customStyle="1" w:styleId="18">
    <w:name w:val="列表段落1"/>
    <w:basedOn w:val="1"/>
    <w:qFormat/>
    <w:uiPriority w:val="34"/>
    <w:pPr>
      <w:ind w:firstLine="420" w:firstLineChars="200"/>
    </w:pPr>
  </w:style>
  <w:style w:type="character" w:customStyle="1" w:styleId="19">
    <w:name w:val="页眉 字符"/>
    <w:basedOn w:val="15"/>
    <w:link w:val="10"/>
    <w:qFormat/>
    <w:uiPriority w:val="0"/>
    <w:rPr>
      <w:rFonts w:asciiTheme="minorHAnsi" w:hAnsiTheme="minorHAnsi" w:eastAsiaTheme="minorEastAsia" w:cstheme="minorBidi"/>
      <w:kern w:val="2"/>
      <w:sz w:val="18"/>
      <w:szCs w:val="18"/>
    </w:rPr>
  </w:style>
  <w:style w:type="character" w:customStyle="1" w:styleId="20">
    <w:name w:val="页脚 字符"/>
    <w:basedOn w:val="15"/>
    <w:link w:val="9"/>
    <w:qFormat/>
    <w:uiPriority w:val="0"/>
    <w:rPr>
      <w:rFonts w:asciiTheme="minorHAnsi" w:hAnsiTheme="minorHAnsi" w:eastAsiaTheme="minorEastAsia" w:cstheme="minorBidi"/>
      <w:kern w:val="2"/>
      <w:sz w:val="18"/>
      <w:szCs w:val="18"/>
    </w:rPr>
  </w:style>
  <w:style w:type="paragraph" w:customStyle="1" w:styleId="21">
    <w:name w:val="修订1"/>
    <w:hidden/>
    <w:semiHidden/>
    <w:qFormat/>
    <w:uiPriority w:val="99"/>
    <w:rPr>
      <w:rFonts w:asciiTheme="minorHAnsi" w:hAnsiTheme="minorHAnsi" w:eastAsiaTheme="minorEastAsia" w:cstheme="minorBidi"/>
      <w:kern w:val="2"/>
      <w:sz w:val="21"/>
      <w:szCs w:val="24"/>
      <w:lang w:val="en-US" w:eastAsia="zh-CN" w:bidi="ar-SA"/>
    </w:rPr>
  </w:style>
  <w:style w:type="character" w:customStyle="1" w:styleId="22">
    <w:name w:val="批注文字 字符"/>
    <w:basedOn w:val="15"/>
    <w:link w:val="7"/>
    <w:qFormat/>
    <w:uiPriority w:val="0"/>
    <w:rPr>
      <w:rFonts w:asciiTheme="minorHAnsi" w:hAnsiTheme="minorHAnsi" w:eastAsiaTheme="minorEastAsia" w:cstheme="minorBidi"/>
      <w:kern w:val="2"/>
      <w:sz w:val="21"/>
      <w:szCs w:val="24"/>
    </w:rPr>
  </w:style>
  <w:style w:type="character" w:customStyle="1" w:styleId="23">
    <w:name w:val="批注主题 字符"/>
    <w:basedOn w:val="22"/>
    <w:link w:val="12"/>
    <w:qFormat/>
    <w:uiPriority w:val="0"/>
    <w:rPr>
      <w:rFonts w:asciiTheme="minorHAnsi" w:hAnsiTheme="minorHAnsi" w:eastAsiaTheme="minorEastAsia" w:cstheme="minorBidi"/>
      <w:b/>
      <w:bCs/>
      <w:kern w:val="2"/>
      <w:sz w:val="21"/>
      <w:szCs w:val="24"/>
    </w:rPr>
  </w:style>
  <w:style w:type="paragraph" w:customStyle="1" w:styleId="24">
    <w:name w:val="标准文件_段"/>
    <w:link w:val="25"/>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5">
    <w:name w:val="标准文件_段 Char"/>
    <w:link w:val="24"/>
    <w:qFormat/>
    <w:uiPriority w:val="0"/>
    <w:rPr>
      <w:rFonts w:ascii="宋体"/>
      <w:sz w:val="21"/>
    </w:rPr>
  </w:style>
  <w:style w:type="paragraph" w:customStyle="1" w:styleId="26">
    <w:name w:val="列出段落1"/>
    <w:basedOn w:val="1"/>
    <w:qFormat/>
    <w:uiPriority w:val="34"/>
    <w:pPr>
      <w:ind w:firstLine="420" w:firstLineChars="200"/>
    </w:pPr>
  </w:style>
  <w:style w:type="character" w:customStyle="1" w:styleId="27">
    <w:name w:val="font21"/>
    <w:basedOn w:val="15"/>
    <w:qFormat/>
    <w:uiPriority w:val="0"/>
    <w:rPr>
      <w:rFonts w:ascii="微软雅黑" w:hAnsi="微软雅黑" w:eastAsia="微软雅黑" w:cs="微软雅黑"/>
      <w:color w:val="000000"/>
      <w:sz w:val="22"/>
      <w:szCs w:val="22"/>
      <w:u w:val="none"/>
    </w:rPr>
  </w:style>
  <w:style w:type="character" w:customStyle="1" w:styleId="28">
    <w:name w:val="font01"/>
    <w:basedOn w:val="15"/>
    <w:qFormat/>
    <w:uiPriority w:val="0"/>
    <w:rPr>
      <w:rFonts w:hint="eastAsia" w:ascii="宋体" w:hAnsi="宋体" w:eastAsia="宋体" w:cs="宋体"/>
      <w:color w:val="000000"/>
      <w:sz w:val="22"/>
      <w:szCs w:val="22"/>
      <w:u w:val="none"/>
    </w:rPr>
  </w:style>
  <w:style w:type="table" w:customStyle="1" w:styleId="29">
    <w:name w:val="三线表"/>
    <w:autoRedefine/>
    <w:qFormat/>
    <w:uiPriority w:val="99"/>
    <w:rPr>
      <w:rFonts w:ascii="Times New Roman" w:hAnsi="Times New Roman"/>
      <w:sz w:val="21"/>
    </w:rPr>
    <w:tblPr>
      <w:tblBorders>
        <w:top w:val="single" w:color="auto" w:sz="12" w:space="0"/>
        <w:bottom w:val="single" w:color="auto" w:sz="12" w:space="0"/>
      </w:tblBorders>
    </w:tblPr>
    <w:tblStylePr w:type="firstRow">
      <w:pPr>
        <w:wordWrap/>
        <w:spacing w:line="360" w:lineRule="exact"/>
        <w:jc w:val="center"/>
      </w:pPr>
      <w:rPr>
        <w:rFonts w:ascii="Times New Roman" w:hAnsi="Times New Roman" w:eastAsia="宋体"/>
        <w:b w:val="0"/>
        <w:i w:val="0"/>
        <w:sz w:val="21"/>
      </w:rPr>
      <w:tcPr>
        <w:tcBorders>
          <w:top w:val="single" w:color="auto" w:sz="12" w:space="0"/>
          <w:left w:val="nil"/>
          <w:bottom w:val="single" w:color="auto" w:sz="6" w:space="0"/>
          <w:right w:val="nil"/>
          <w:insideH w:val="nil"/>
          <w:insideV w:val="nil"/>
          <w:tl2br w:val="nil"/>
          <w:tr2bl w:val="nil"/>
        </w:tcBorders>
      </w:tc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17</Pages>
  <Words>8333</Words>
  <Characters>10250</Characters>
  <Lines>65</Lines>
  <Paragraphs>18</Paragraphs>
  <TotalTime>13</TotalTime>
  <ScaleCrop>false</ScaleCrop>
  <LinksUpToDate>false</LinksUpToDate>
  <CharactersWithSpaces>10567</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2023-09-17T15:53:00Z</dcterms:created>
  <dc:creator>86139</dc:creator>
  <cp:lastModifiedBy>硕果</cp:lastModifiedBy>
  <cp:lastPrinted>2026-01-15T07:27:00Z</cp:lastPrinted>
  <dcterms:modified xsi:type="dcterms:W3CDTF">2026-01-20T01:25:03Z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258A3CB3947C4DFC8938B738647D2325_13</vt:lpwstr>
  </property>
  <property fmtid="{D5CDD505-2E9C-101B-9397-08002B2CF9AE}" pid="4" name="KSOTemplateDocerSaveRecord">
    <vt:lpwstr>eyJoZGlkIjoiMzEwNTM5NzYwMDRjMzkwZTVkZjY2ODkwMGIxNGU0OTUiLCJ1c2VySWQiOiIyMDE3MzM4ODMifQ==</vt:lpwstr>
  </property>
</Properties>
</file>